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326" w:rsidRPr="002B41D9" w:rsidRDefault="00661326" w:rsidP="00E4782A">
      <w:pPr>
        <w:shd w:val="clear" w:color="auto" w:fill="FFFFFF"/>
        <w:spacing w:before="100" w:beforeAutospacing="1" w:line="276" w:lineRule="auto"/>
        <w:rPr>
          <w:rFonts w:ascii="Garamond" w:hAnsi="Garamond" w:cs="Arial"/>
          <w:sz w:val="20"/>
          <w:szCs w:val="20"/>
        </w:rPr>
      </w:pPr>
      <w:bookmarkStart w:id="0" w:name="_GoBack"/>
      <w:bookmarkEnd w:id="0"/>
      <w:r w:rsidRPr="002B41D9">
        <w:rPr>
          <w:rFonts w:ascii="Garamond" w:hAnsi="Garamond" w:cs="Arial"/>
          <w:b/>
          <w:sz w:val="20"/>
          <w:szCs w:val="20"/>
        </w:rPr>
        <w:t xml:space="preserve">Definition: </w:t>
      </w:r>
      <w:r w:rsidRPr="002B41D9">
        <w:rPr>
          <w:rFonts w:ascii="Garamond" w:hAnsi="Garamond" w:cs="Arial"/>
          <w:sz w:val="20"/>
          <w:szCs w:val="20"/>
        </w:rPr>
        <w:t>A Field Trial is defined as an evaluation of a sponsor's material in an agricultural field, greenhouse, or growth chamber trial, where the sponsor provides both the material and the evaluation protocol. A Field Trial does not include any other sponsor materials or products (e.g., equipment, etc.). Field Trials do not include field trials conducted for the purpose or furtherance of basic research.</w:t>
      </w:r>
    </w:p>
    <w:p w:rsidR="00661326" w:rsidRPr="002B41D9" w:rsidRDefault="00A92D57" w:rsidP="00E4782A">
      <w:pPr>
        <w:spacing w:line="276" w:lineRule="auto"/>
        <w:jc w:val="center"/>
        <w:rPr>
          <w:rFonts w:ascii="Garamond" w:hAnsi="Garamond" w:cs="Arial"/>
          <w:sz w:val="20"/>
          <w:szCs w:val="20"/>
        </w:rPr>
      </w:pPr>
      <w:hyperlink r:id="rId8" w:history="1">
        <w:r w:rsidR="00661326" w:rsidRPr="002B41D9">
          <w:rPr>
            <w:rStyle w:val="Hyperlink"/>
            <w:rFonts w:ascii="Garamond" w:hAnsi="Garamond" w:cs="Arial"/>
            <w:sz w:val="20"/>
            <w:szCs w:val="20"/>
          </w:rPr>
          <w:t>http://www.vpresearch.iastate.edu/index.cfm?nodeID=48337&amp;audienceID=1</w:t>
        </w:r>
      </w:hyperlink>
    </w:p>
    <w:p w:rsidR="00661326" w:rsidRPr="002B41D9" w:rsidRDefault="00661326" w:rsidP="00E4782A">
      <w:pPr>
        <w:spacing w:line="276" w:lineRule="auto"/>
        <w:jc w:val="center"/>
        <w:rPr>
          <w:rFonts w:ascii="Garamond" w:hAnsi="Garamond" w:cs="Arial"/>
          <w:sz w:val="20"/>
          <w:szCs w:val="20"/>
        </w:rPr>
      </w:pPr>
    </w:p>
    <w:p w:rsidR="00661326" w:rsidRPr="002B41D9" w:rsidRDefault="00661326" w:rsidP="00E4782A">
      <w:pPr>
        <w:spacing w:line="276" w:lineRule="auto"/>
        <w:rPr>
          <w:rFonts w:ascii="Garamond" w:hAnsi="Garamond" w:cs="Arial"/>
          <w:b/>
          <w:sz w:val="20"/>
          <w:szCs w:val="20"/>
        </w:rPr>
      </w:pPr>
      <w:r w:rsidRPr="002B41D9">
        <w:rPr>
          <w:rFonts w:ascii="Garamond" w:hAnsi="Garamond" w:cs="Arial"/>
          <w:b/>
          <w:sz w:val="20"/>
          <w:szCs w:val="20"/>
        </w:rPr>
        <w:t>Types of Field Trials:</w:t>
      </w:r>
    </w:p>
    <w:p w:rsidR="00661326" w:rsidRPr="002B41D9" w:rsidRDefault="00661326" w:rsidP="00E4782A">
      <w:pPr>
        <w:pStyle w:val="ListParagraph"/>
        <w:numPr>
          <w:ilvl w:val="0"/>
          <w:numId w:val="14"/>
        </w:numPr>
        <w:spacing w:line="276" w:lineRule="auto"/>
        <w:contextualSpacing/>
        <w:rPr>
          <w:rFonts w:ascii="Garamond" w:hAnsi="Garamond" w:cs="Arial"/>
          <w:sz w:val="20"/>
          <w:szCs w:val="20"/>
        </w:rPr>
      </w:pPr>
      <w:r w:rsidRPr="002B41D9">
        <w:rPr>
          <w:rFonts w:ascii="Garamond" w:hAnsi="Garamond" w:cs="Arial"/>
          <w:b/>
          <w:sz w:val="20"/>
          <w:szCs w:val="20"/>
        </w:rPr>
        <w:t xml:space="preserve">Confidential </w:t>
      </w:r>
      <w:r w:rsidRPr="002B41D9">
        <w:rPr>
          <w:rFonts w:ascii="Garamond" w:hAnsi="Garamond" w:cs="Arial"/>
          <w:sz w:val="20"/>
          <w:szCs w:val="20"/>
        </w:rPr>
        <w:t xml:space="preserve">– Sponsor product to be tested is generally in the pre-commercial stage.  A full research agreement, including language on confidentiality, publication, and intellectual property, is required.  </w:t>
      </w:r>
    </w:p>
    <w:p w:rsidR="00661326" w:rsidRPr="002B41D9" w:rsidRDefault="00661326" w:rsidP="00E4782A">
      <w:pPr>
        <w:pStyle w:val="ListParagraph"/>
        <w:numPr>
          <w:ilvl w:val="1"/>
          <w:numId w:val="14"/>
        </w:numPr>
        <w:spacing w:line="276" w:lineRule="auto"/>
        <w:contextualSpacing/>
        <w:rPr>
          <w:rFonts w:ascii="Garamond" w:hAnsi="Garamond" w:cs="Arial"/>
          <w:sz w:val="20"/>
          <w:szCs w:val="20"/>
        </w:rPr>
      </w:pPr>
      <w:r w:rsidRPr="002B41D9">
        <w:rPr>
          <w:rFonts w:ascii="Garamond" w:hAnsi="Garamond" w:cs="Arial"/>
          <w:sz w:val="20"/>
          <w:szCs w:val="20"/>
        </w:rPr>
        <w:t xml:space="preserve">ISU has existing master Field Trial agreements with </w:t>
      </w:r>
      <w:r w:rsidR="00335B79">
        <w:rPr>
          <w:rFonts w:ascii="Garamond" w:hAnsi="Garamond" w:cs="Arial"/>
          <w:sz w:val="20"/>
          <w:szCs w:val="20"/>
        </w:rPr>
        <w:t xml:space="preserve">Bayer Crop Science, </w:t>
      </w:r>
      <w:r w:rsidRPr="002B41D9">
        <w:rPr>
          <w:rFonts w:ascii="Garamond" w:hAnsi="Garamond" w:cs="Arial"/>
          <w:sz w:val="20"/>
          <w:szCs w:val="20"/>
        </w:rPr>
        <w:t xml:space="preserve">Dow </w:t>
      </w:r>
      <w:proofErr w:type="spellStart"/>
      <w:r w:rsidRPr="002B41D9">
        <w:rPr>
          <w:rFonts w:ascii="Garamond" w:hAnsi="Garamond" w:cs="Arial"/>
          <w:sz w:val="20"/>
          <w:szCs w:val="20"/>
        </w:rPr>
        <w:t>AgroSciences</w:t>
      </w:r>
      <w:proofErr w:type="spellEnd"/>
      <w:r w:rsidRPr="002B41D9">
        <w:rPr>
          <w:rFonts w:ascii="Garamond" w:hAnsi="Garamond" w:cs="Arial"/>
          <w:sz w:val="20"/>
          <w:szCs w:val="20"/>
        </w:rPr>
        <w:t xml:space="preserve">, Monsanto Company and Syngenta Crop Protection.  Individual confidential projects under these agreements are added through a “service order” or short “project description” that is signed by ISU and the sponsor. </w:t>
      </w:r>
    </w:p>
    <w:p w:rsidR="00661326" w:rsidRPr="002B41D9" w:rsidRDefault="00661326" w:rsidP="00E4782A">
      <w:pPr>
        <w:pStyle w:val="ListParagraph"/>
        <w:numPr>
          <w:ilvl w:val="1"/>
          <w:numId w:val="14"/>
        </w:numPr>
        <w:spacing w:line="276" w:lineRule="auto"/>
        <w:contextualSpacing/>
        <w:rPr>
          <w:rFonts w:ascii="Garamond" w:hAnsi="Garamond" w:cs="Arial"/>
          <w:sz w:val="20"/>
          <w:szCs w:val="20"/>
        </w:rPr>
      </w:pPr>
      <w:r w:rsidRPr="002B41D9">
        <w:rPr>
          <w:rFonts w:ascii="Garamond" w:hAnsi="Garamond" w:cs="Arial"/>
          <w:sz w:val="20"/>
          <w:szCs w:val="20"/>
        </w:rPr>
        <w:t xml:space="preserve">Agreements for other confidential Field Trials vary by sponsor.  Some have a standard contract used for most projects.  Others rely on ISU to develop the agreement.  </w:t>
      </w:r>
    </w:p>
    <w:p w:rsidR="00661326" w:rsidRPr="002B41D9" w:rsidRDefault="00661326" w:rsidP="00E4782A">
      <w:pPr>
        <w:spacing w:line="276" w:lineRule="auto"/>
        <w:ind w:left="720" w:hanging="360"/>
        <w:contextualSpacing/>
        <w:rPr>
          <w:rFonts w:ascii="Garamond" w:hAnsi="Garamond"/>
          <w:sz w:val="20"/>
          <w:szCs w:val="20"/>
        </w:rPr>
      </w:pPr>
      <w:r w:rsidRPr="002B41D9">
        <w:rPr>
          <w:rFonts w:ascii="Garamond" w:hAnsi="Garamond" w:cs="Arial"/>
          <w:sz w:val="20"/>
          <w:szCs w:val="20"/>
        </w:rPr>
        <w:t>2.</w:t>
      </w:r>
      <w:r w:rsidRPr="002B41D9">
        <w:rPr>
          <w:rFonts w:ascii="Garamond" w:hAnsi="Garamond" w:cs="Arial"/>
          <w:b/>
          <w:sz w:val="20"/>
          <w:szCs w:val="20"/>
        </w:rPr>
        <w:t xml:space="preserve"> </w:t>
      </w:r>
      <w:r w:rsidRPr="002B41D9">
        <w:rPr>
          <w:rFonts w:ascii="Garamond" w:hAnsi="Garamond" w:cs="Arial"/>
          <w:b/>
          <w:sz w:val="20"/>
          <w:szCs w:val="20"/>
        </w:rPr>
        <w:tab/>
        <w:t xml:space="preserve">Non-Confidential – </w:t>
      </w:r>
      <w:r w:rsidRPr="002B41D9">
        <w:rPr>
          <w:rFonts w:ascii="Garamond" w:hAnsi="Garamond" w:cs="Arial"/>
          <w:sz w:val="20"/>
          <w:szCs w:val="20"/>
        </w:rPr>
        <w:t xml:space="preserve">Sponsor product to be tested is generally a commercial product and contracting requirements are less stringent.  A sponsor typically wants the data/results of the study, but no limits are placed on publication, and intellectual property is not expected to result from the project.  For non-confidential Field Trials, ISU sends the sponsor a </w:t>
      </w:r>
      <w:r w:rsidRPr="002B41D9">
        <w:rPr>
          <w:rFonts w:ascii="Garamond" w:hAnsi="Garamond"/>
          <w:sz w:val="20"/>
          <w:szCs w:val="20"/>
        </w:rPr>
        <w:t xml:space="preserve">letter acknowledging the project or uses a simplified agreement for documentation, depending on the sponsor’s needs.  </w:t>
      </w:r>
    </w:p>
    <w:p w:rsidR="00661326" w:rsidRPr="002B41D9" w:rsidRDefault="00661326" w:rsidP="00E4782A">
      <w:pPr>
        <w:spacing w:line="276" w:lineRule="auto"/>
        <w:ind w:left="1080"/>
        <w:contextualSpacing/>
        <w:jc w:val="both"/>
        <w:rPr>
          <w:rFonts w:ascii="Garamond" w:hAnsi="Garamond" w:cs="Arial"/>
          <w:b/>
          <w:sz w:val="20"/>
          <w:szCs w:val="20"/>
        </w:rPr>
      </w:pPr>
    </w:p>
    <w:p w:rsidR="00661326" w:rsidRPr="002B41D9" w:rsidRDefault="00661326" w:rsidP="00E4782A">
      <w:pPr>
        <w:spacing w:line="276" w:lineRule="auto"/>
        <w:contextualSpacing/>
        <w:jc w:val="both"/>
        <w:rPr>
          <w:rFonts w:ascii="Garamond" w:hAnsi="Garamond" w:cs="Arial"/>
          <w:b/>
          <w:sz w:val="20"/>
          <w:szCs w:val="20"/>
        </w:rPr>
      </w:pPr>
      <w:r w:rsidRPr="002B41D9">
        <w:rPr>
          <w:rFonts w:ascii="Garamond" w:hAnsi="Garamond" w:cs="Arial"/>
          <w:b/>
          <w:sz w:val="20"/>
          <w:szCs w:val="20"/>
        </w:rPr>
        <w:t>GoldSheet Guidelines:</w:t>
      </w:r>
    </w:p>
    <w:p w:rsidR="00661326" w:rsidRPr="002B41D9" w:rsidRDefault="00661326" w:rsidP="00E4782A">
      <w:pPr>
        <w:pStyle w:val="ListParagraph"/>
        <w:numPr>
          <w:ilvl w:val="0"/>
          <w:numId w:val="13"/>
        </w:numPr>
        <w:spacing w:line="276" w:lineRule="auto"/>
        <w:rPr>
          <w:rFonts w:ascii="Garamond" w:hAnsi="Garamond" w:cs="Arial"/>
          <w:sz w:val="20"/>
          <w:szCs w:val="20"/>
        </w:rPr>
      </w:pPr>
      <w:r w:rsidRPr="002B41D9">
        <w:rPr>
          <w:rFonts w:ascii="Garamond" w:hAnsi="Garamond" w:cs="Arial"/>
          <w:sz w:val="20"/>
          <w:szCs w:val="20"/>
        </w:rPr>
        <w:t>Field Trial projects require a GoldSheet (and not the ISU Foundation Cardinal Sheet).  OIPTT-Industry Contracts manages the contract process</w:t>
      </w:r>
      <w:r w:rsidR="00FF77FE">
        <w:rPr>
          <w:rFonts w:ascii="Garamond" w:hAnsi="Garamond" w:cs="Arial"/>
          <w:sz w:val="20"/>
          <w:szCs w:val="20"/>
        </w:rPr>
        <w:t xml:space="preserve"> after the GoldSheet is approved by OSPA</w:t>
      </w:r>
      <w:r w:rsidRPr="002B41D9">
        <w:rPr>
          <w:rFonts w:ascii="Garamond" w:hAnsi="Garamond" w:cs="Arial"/>
          <w:sz w:val="20"/>
          <w:szCs w:val="20"/>
        </w:rPr>
        <w:t xml:space="preserve">.  Contact </w:t>
      </w:r>
      <w:hyperlink r:id="rId9" w:history="1">
        <w:r w:rsidRPr="002B41D9">
          <w:rPr>
            <w:rStyle w:val="Hyperlink"/>
            <w:rFonts w:ascii="Garamond" w:hAnsi="Garamond" w:cs="Arial"/>
            <w:sz w:val="20"/>
            <w:szCs w:val="20"/>
          </w:rPr>
          <w:t>industry-contracts@iastate.edu</w:t>
        </w:r>
      </w:hyperlink>
      <w:r w:rsidRPr="002B41D9">
        <w:rPr>
          <w:rFonts w:ascii="Garamond" w:hAnsi="Garamond" w:cs="Arial"/>
          <w:sz w:val="20"/>
          <w:szCs w:val="20"/>
        </w:rPr>
        <w:t xml:space="preserve"> or 515-294-4740 for assistance.</w:t>
      </w:r>
    </w:p>
    <w:p w:rsidR="00661326" w:rsidRPr="002B41D9" w:rsidRDefault="00661326" w:rsidP="00E4782A">
      <w:pPr>
        <w:pStyle w:val="ListParagraph"/>
        <w:numPr>
          <w:ilvl w:val="0"/>
          <w:numId w:val="13"/>
        </w:numPr>
        <w:spacing w:line="276" w:lineRule="auto"/>
        <w:rPr>
          <w:rFonts w:ascii="Garamond" w:hAnsi="Garamond" w:cs="Arial"/>
          <w:sz w:val="20"/>
          <w:szCs w:val="20"/>
        </w:rPr>
      </w:pPr>
      <w:r w:rsidRPr="002B41D9">
        <w:rPr>
          <w:rFonts w:ascii="Garamond" w:hAnsi="Garamond" w:cs="Arial"/>
          <w:b/>
          <w:sz w:val="20"/>
          <w:szCs w:val="20"/>
        </w:rPr>
        <w:t>Genetically Modified Organisms/</w:t>
      </w:r>
      <w:proofErr w:type="spellStart"/>
      <w:r w:rsidRPr="002B41D9">
        <w:rPr>
          <w:rFonts w:ascii="Garamond" w:hAnsi="Garamond" w:cs="Arial"/>
          <w:b/>
          <w:sz w:val="20"/>
          <w:szCs w:val="20"/>
        </w:rPr>
        <w:t>rDNA</w:t>
      </w:r>
      <w:proofErr w:type="spellEnd"/>
      <w:r w:rsidRPr="002B41D9">
        <w:rPr>
          <w:rFonts w:ascii="Garamond" w:hAnsi="Garamond" w:cs="Arial"/>
          <w:b/>
          <w:sz w:val="20"/>
          <w:szCs w:val="20"/>
        </w:rPr>
        <w:t xml:space="preserve">: </w:t>
      </w:r>
      <w:r w:rsidRPr="002B41D9">
        <w:rPr>
          <w:rFonts w:ascii="Garamond" w:hAnsi="Garamond" w:cs="Arial"/>
          <w:sz w:val="20"/>
          <w:szCs w:val="20"/>
        </w:rPr>
        <w:t xml:space="preserve">With the prevalence of Round-up Ready, </w:t>
      </w:r>
      <w:proofErr w:type="gramStart"/>
      <w:r w:rsidRPr="002B41D9">
        <w:rPr>
          <w:rFonts w:ascii="Garamond" w:hAnsi="Garamond" w:cs="Arial"/>
          <w:sz w:val="20"/>
          <w:szCs w:val="20"/>
        </w:rPr>
        <w:t>Bt</w:t>
      </w:r>
      <w:proofErr w:type="gramEnd"/>
      <w:r w:rsidRPr="002B41D9">
        <w:rPr>
          <w:rFonts w:ascii="Garamond" w:hAnsi="Garamond" w:cs="Arial"/>
          <w:sz w:val="20"/>
          <w:szCs w:val="20"/>
        </w:rPr>
        <w:t xml:space="preserve"> and other GMO crop varieties, the risks involved with traditional Field Trials are not the same as other types of research involving recombinant DNA.  Industry Contracts, the Office of Responsible Research, and OSPA have agreed on the following process for </w:t>
      </w:r>
      <w:proofErr w:type="spellStart"/>
      <w:r w:rsidRPr="002B41D9">
        <w:rPr>
          <w:rFonts w:ascii="Garamond" w:hAnsi="Garamond" w:cs="Arial"/>
          <w:sz w:val="20"/>
          <w:szCs w:val="20"/>
        </w:rPr>
        <w:t>GoldSheets</w:t>
      </w:r>
      <w:proofErr w:type="spellEnd"/>
      <w:r w:rsidRPr="002B41D9">
        <w:rPr>
          <w:rFonts w:ascii="Garamond" w:hAnsi="Garamond" w:cs="Arial"/>
          <w:sz w:val="20"/>
          <w:szCs w:val="20"/>
        </w:rPr>
        <w:t xml:space="preserve"> involving Field Trials using pre-commercial (i.e. approved but not sold to farmers) or commercial GMO/</w:t>
      </w:r>
      <w:proofErr w:type="spellStart"/>
      <w:r w:rsidRPr="002B41D9">
        <w:rPr>
          <w:rFonts w:ascii="Garamond" w:hAnsi="Garamond" w:cs="Arial"/>
          <w:sz w:val="20"/>
          <w:szCs w:val="20"/>
        </w:rPr>
        <w:t>rDNA</w:t>
      </w:r>
      <w:proofErr w:type="spellEnd"/>
      <w:r w:rsidRPr="002B41D9">
        <w:rPr>
          <w:rFonts w:ascii="Garamond" w:hAnsi="Garamond" w:cs="Arial"/>
          <w:sz w:val="20"/>
          <w:szCs w:val="20"/>
        </w:rPr>
        <w:t>:</w:t>
      </w:r>
    </w:p>
    <w:p w:rsidR="00661326" w:rsidRPr="002B41D9" w:rsidRDefault="00661326" w:rsidP="00E4782A">
      <w:pPr>
        <w:pStyle w:val="ListParagraph"/>
        <w:numPr>
          <w:ilvl w:val="1"/>
          <w:numId w:val="13"/>
        </w:numPr>
        <w:spacing w:line="276" w:lineRule="auto"/>
        <w:rPr>
          <w:rFonts w:ascii="Garamond" w:hAnsi="Garamond" w:cs="Arial"/>
          <w:sz w:val="20"/>
          <w:szCs w:val="20"/>
        </w:rPr>
      </w:pPr>
      <w:r w:rsidRPr="002B41D9">
        <w:rPr>
          <w:rFonts w:ascii="Garamond" w:hAnsi="Garamond" w:cs="Arial"/>
          <w:sz w:val="20"/>
          <w:szCs w:val="20"/>
        </w:rPr>
        <w:t xml:space="preserve">Please indicate (check the box) on the GoldSheet that the project involves </w:t>
      </w:r>
      <w:proofErr w:type="spellStart"/>
      <w:r w:rsidRPr="002B41D9">
        <w:rPr>
          <w:rFonts w:ascii="Garamond" w:hAnsi="Garamond" w:cs="Arial"/>
          <w:sz w:val="20"/>
          <w:szCs w:val="20"/>
        </w:rPr>
        <w:t>rDNA</w:t>
      </w:r>
      <w:proofErr w:type="spellEnd"/>
      <w:r w:rsidRPr="002B41D9">
        <w:rPr>
          <w:rFonts w:ascii="Garamond" w:hAnsi="Garamond" w:cs="Arial"/>
          <w:sz w:val="20"/>
          <w:szCs w:val="20"/>
        </w:rPr>
        <w:t>.</w:t>
      </w:r>
    </w:p>
    <w:tbl>
      <w:tblPr>
        <w:tblStyle w:val="TableGrid"/>
        <w:tblpPr w:leftFromText="180" w:rightFromText="180" w:vertAnchor="text" w:horzAnchor="page" w:tblpX="7891" w:tblpY="404"/>
        <w:tblOverlap w:val="never"/>
        <w:tblW w:w="0" w:type="auto"/>
        <w:tblBorders>
          <w:insideH w:val="none" w:sz="0" w:space="0" w:color="auto"/>
          <w:insideV w:val="none" w:sz="0" w:space="0" w:color="auto"/>
        </w:tblBorders>
        <w:tblLook w:val="04A0" w:firstRow="1" w:lastRow="0" w:firstColumn="1" w:lastColumn="0" w:noHBand="0" w:noVBand="1"/>
      </w:tblPr>
      <w:tblGrid>
        <w:gridCol w:w="2628"/>
        <w:gridCol w:w="1080"/>
      </w:tblGrid>
      <w:tr w:rsidR="002B41D9" w:rsidRPr="002B41D9" w:rsidTr="002B41D9">
        <w:tc>
          <w:tcPr>
            <w:tcW w:w="3708" w:type="dxa"/>
            <w:gridSpan w:val="2"/>
          </w:tcPr>
          <w:p w:rsidR="002B41D9" w:rsidRPr="002B41D9" w:rsidRDefault="002B41D9" w:rsidP="002B41D9">
            <w:pPr>
              <w:spacing w:line="276" w:lineRule="auto"/>
              <w:jc w:val="center"/>
              <w:rPr>
                <w:rFonts w:ascii="Garamond" w:hAnsi="Garamond" w:cs="Arial"/>
                <w:b/>
                <w:sz w:val="20"/>
                <w:szCs w:val="20"/>
              </w:rPr>
            </w:pPr>
            <w:r w:rsidRPr="002B41D9">
              <w:rPr>
                <w:rFonts w:ascii="Garamond" w:hAnsi="Garamond" w:cs="Arial"/>
                <w:b/>
                <w:sz w:val="20"/>
                <w:szCs w:val="20"/>
              </w:rPr>
              <w:t>Field Trial Budget</w:t>
            </w:r>
          </w:p>
        </w:tc>
      </w:tr>
      <w:tr w:rsidR="002B41D9" w:rsidRPr="002B41D9" w:rsidTr="002B41D9">
        <w:tc>
          <w:tcPr>
            <w:tcW w:w="2628" w:type="dxa"/>
            <w:tcBorders>
              <w:bottom w:val="nil"/>
              <w:right w:val="nil"/>
            </w:tcBorders>
          </w:tcPr>
          <w:p w:rsidR="002B41D9" w:rsidRPr="002B41D9" w:rsidRDefault="002B41D9" w:rsidP="002B41D9">
            <w:pPr>
              <w:spacing w:line="276" w:lineRule="auto"/>
              <w:jc w:val="both"/>
              <w:rPr>
                <w:rFonts w:ascii="Garamond" w:hAnsi="Garamond" w:cs="Arial"/>
                <w:b/>
                <w:sz w:val="20"/>
                <w:szCs w:val="20"/>
              </w:rPr>
            </w:pPr>
            <w:r w:rsidRPr="002B41D9">
              <w:rPr>
                <w:rFonts w:ascii="Garamond" w:hAnsi="Garamond" w:cs="Arial"/>
                <w:b/>
                <w:sz w:val="20"/>
                <w:szCs w:val="20"/>
              </w:rPr>
              <w:t>Company</w:t>
            </w:r>
          </w:p>
        </w:tc>
        <w:tc>
          <w:tcPr>
            <w:tcW w:w="1080" w:type="dxa"/>
            <w:tcBorders>
              <w:top w:val="nil"/>
              <w:left w:val="nil"/>
              <w:bottom w:val="nil"/>
            </w:tcBorders>
          </w:tcPr>
          <w:p w:rsidR="002B41D9" w:rsidRPr="002B41D9" w:rsidRDefault="002B41D9" w:rsidP="002B41D9">
            <w:pPr>
              <w:spacing w:line="276" w:lineRule="auto"/>
              <w:jc w:val="right"/>
              <w:rPr>
                <w:rFonts w:ascii="Garamond" w:hAnsi="Garamond" w:cs="Arial"/>
                <w:b/>
                <w:sz w:val="20"/>
                <w:szCs w:val="20"/>
              </w:rPr>
            </w:pPr>
          </w:p>
        </w:tc>
      </w:tr>
      <w:tr w:rsidR="002B41D9" w:rsidRPr="002B41D9" w:rsidTr="002B41D9">
        <w:tc>
          <w:tcPr>
            <w:tcW w:w="2628" w:type="dxa"/>
            <w:tcBorders>
              <w:top w:val="nil"/>
              <w:bottom w:val="single" w:sz="4" w:space="0" w:color="auto"/>
              <w:right w:val="nil"/>
            </w:tcBorders>
          </w:tcPr>
          <w:p w:rsidR="002B41D9" w:rsidRPr="002B41D9" w:rsidRDefault="002B41D9" w:rsidP="002B41D9">
            <w:pPr>
              <w:spacing w:line="276" w:lineRule="auto"/>
              <w:jc w:val="both"/>
              <w:rPr>
                <w:rFonts w:ascii="Garamond" w:hAnsi="Garamond" w:cs="Arial"/>
                <w:b/>
                <w:sz w:val="20"/>
                <w:szCs w:val="20"/>
              </w:rPr>
            </w:pPr>
            <w:r w:rsidRPr="002B41D9">
              <w:rPr>
                <w:rFonts w:ascii="Garamond" w:hAnsi="Garamond" w:cs="Arial"/>
                <w:b/>
                <w:sz w:val="20"/>
                <w:szCs w:val="20"/>
              </w:rPr>
              <w:t>Trial title or number(s)</w:t>
            </w:r>
          </w:p>
        </w:tc>
        <w:tc>
          <w:tcPr>
            <w:tcW w:w="1080" w:type="dxa"/>
            <w:tcBorders>
              <w:top w:val="nil"/>
              <w:left w:val="nil"/>
              <w:bottom w:val="single" w:sz="4" w:space="0" w:color="auto"/>
            </w:tcBorders>
          </w:tcPr>
          <w:p w:rsidR="002B41D9" w:rsidRPr="002B41D9" w:rsidRDefault="002B41D9" w:rsidP="002B41D9">
            <w:pPr>
              <w:spacing w:line="276" w:lineRule="auto"/>
              <w:jc w:val="center"/>
              <w:rPr>
                <w:rFonts w:ascii="Garamond" w:hAnsi="Garamond" w:cs="Arial"/>
                <w:b/>
                <w:sz w:val="20"/>
                <w:szCs w:val="20"/>
              </w:rPr>
            </w:pPr>
            <w:r w:rsidRPr="002B41D9">
              <w:rPr>
                <w:rFonts w:ascii="Garamond" w:hAnsi="Garamond" w:cs="Arial"/>
                <w:b/>
                <w:sz w:val="20"/>
                <w:szCs w:val="20"/>
              </w:rPr>
              <w:t>Amount</w:t>
            </w:r>
          </w:p>
        </w:tc>
      </w:tr>
      <w:tr w:rsidR="002B41D9" w:rsidRPr="002B41D9" w:rsidTr="002B41D9">
        <w:tc>
          <w:tcPr>
            <w:tcW w:w="2628" w:type="dxa"/>
            <w:tcBorders>
              <w:top w:val="single" w:sz="4" w:space="0" w:color="auto"/>
              <w:right w:val="single" w:sz="4" w:space="0" w:color="auto"/>
            </w:tcBorders>
          </w:tcPr>
          <w:p w:rsidR="002B41D9" w:rsidRPr="002B41D9" w:rsidRDefault="002B41D9" w:rsidP="002B41D9">
            <w:pPr>
              <w:spacing w:line="276" w:lineRule="auto"/>
              <w:jc w:val="both"/>
              <w:rPr>
                <w:rFonts w:ascii="Garamond" w:hAnsi="Garamond" w:cs="Arial"/>
                <w:sz w:val="20"/>
                <w:szCs w:val="20"/>
              </w:rPr>
            </w:pPr>
            <w:r w:rsidRPr="002B41D9">
              <w:rPr>
                <w:rFonts w:ascii="Garamond" w:hAnsi="Garamond" w:cs="Arial"/>
                <w:sz w:val="20"/>
                <w:szCs w:val="20"/>
              </w:rPr>
              <w:t>Personnel costs</w:t>
            </w:r>
          </w:p>
        </w:tc>
        <w:tc>
          <w:tcPr>
            <w:tcW w:w="1080" w:type="dxa"/>
            <w:tcBorders>
              <w:top w:val="single" w:sz="4" w:space="0" w:color="auto"/>
              <w:left w:val="single" w:sz="4" w:space="0" w:color="auto"/>
            </w:tcBorders>
          </w:tcPr>
          <w:p w:rsidR="002B41D9" w:rsidRPr="002B41D9" w:rsidRDefault="002B41D9" w:rsidP="002B41D9">
            <w:pPr>
              <w:spacing w:line="276" w:lineRule="auto"/>
              <w:jc w:val="right"/>
              <w:rPr>
                <w:rFonts w:ascii="Garamond" w:hAnsi="Garamond" w:cs="Arial"/>
                <w:sz w:val="20"/>
                <w:szCs w:val="20"/>
              </w:rPr>
            </w:pPr>
          </w:p>
        </w:tc>
      </w:tr>
      <w:tr w:rsidR="002B41D9" w:rsidRPr="002B41D9" w:rsidTr="002B41D9">
        <w:tc>
          <w:tcPr>
            <w:tcW w:w="2628" w:type="dxa"/>
            <w:tcBorders>
              <w:right w:val="single" w:sz="4" w:space="0" w:color="auto"/>
            </w:tcBorders>
          </w:tcPr>
          <w:p w:rsidR="002B41D9" w:rsidRPr="002B41D9" w:rsidRDefault="002B41D9" w:rsidP="002B41D9">
            <w:pPr>
              <w:spacing w:line="276" w:lineRule="auto"/>
              <w:jc w:val="both"/>
              <w:rPr>
                <w:rFonts w:ascii="Garamond" w:hAnsi="Garamond" w:cs="Arial"/>
                <w:sz w:val="20"/>
                <w:szCs w:val="20"/>
              </w:rPr>
            </w:pPr>
            <w:r w:rsidRPr="002B41D9">
              <w:rPr>
                <w:rFonts w:ascii="Garamond" w:hAnsi="Garamond" w:cs="Arial"/>
                <w:sz w:val="20"/>
                <w:szCs w:val="20"/>
              </w:rPr>
              <w:t>Research associate – salary</w:t>
            </w:r>
          </w:p>
        </w:tc>
        <w:tc>
          <w:tcPr>
            <w:tcW w:w="1080" w:type="dxa"/>
            <w:tcBorders>
              <w:left w:val="single" w:sz="4" w:space="0" w:color="auto"/>
            </w:tcBorders>
          </w:tcPr>
          <w:p w:rsidR="002B41D9" w:rsidRPr="002B41D9" w:rsidRDefault="002B41D9" w:rsidP="002B41D9">
            <w:pPr>
              <w:spacing w:line="276" w:lineRule="auto"/>
              <w:jc w:val="right"/>
              <w:rPr>
                <w:rFonts w:ascii="Garamond" w:hAnsi="Garamond" w:cs="Arial"/>
                <w:sz w:val="20"/>
                <w:szCs w:val="20"/>
              </w:rPr>
            </w:pPr>
          </w:p>
        </w:tc>
      </w:tr>
      <w:tr w:rsidR="002B41D9" w:rsidRPr="002B41D9" w:rsidTr="002B41D9">
        <w:tc>
          <w:tcPr>
            <w:tcW w:w="2628" w:type="dxa"/>
            <w:tcBorders>
              <w:right w:val="single" w:sz="4" w:space="0" w:color="auto"/>
            </w:tcBorders>
          </w:tcPr>
          <w:p w:rsidR="002B41D9" w:rsidRPr="002B41D9" w:rsidRDefault="002B41D9" w:rsidP="002B41D9">
            <w:pPr>
              <w:pStyle w:val="ListParagraph"/>
              <w:numPr>
                <w:ilvl w:val="0"/>
                <w:numId w:val="16"/>
              </w:numPr>
              <w:spacing w:line="276" w:lineRule="auto"/>
              <w:jc w:val="both"/>
              <w:rPr>
                <w:rFonts w:ascii="Garamond" w:hAnsi="Garamond" w:cs="Arial"/>
                <w:sz w:val="20"/>
                <w:szCs w:val="20"/>
              </w:rPr>
            </w:pPr>
            <w:r w:rsidRPr="002B41D9">
              <w:rPr>
                <w:rFonts w:ascii="Garamond" w:hAnsi="Garamond" w:cs="Arial"/>
                <w:sz w:val="20"/>
                <w:szCs w:val="20"/>
              </w:rPr>
              <w:t>benefits</w:t>
            </w:r>
          </w:p>
        </w:tc>
        <w:tc>
          <w:tcPr>
            <w:tcW w:w="1080" w:type="dxa"/>
            <w:tcBorders>
              <w:left w:val="single" w:sz="4" w:space="0" w:color="auto"/>
            </w:tcBorders>
          </w:tcPr>
          <w:p w:rsidR="002B41D9" w:rsidRPr="002B41D9" w:rsidRDefault="002B41D9" w:rsidP="002B41D9">
            <w:pPr>
              <w:spacing w:line="276" w:lineRule="auto"/>
              <w:jc w:val="right"/>
              <w:rPr>
                <w:rFonts w:ascii="Garamond" w:hAnsi="Garamond" w:cs="Arial"/>
                <w:sz w:val="20"/>
                <w:szCs w:val="20"/>
              </w:rPr>
            </w:pPr>
          </w:p>
        </w:tc>
      </w:tr>
      <w:tr w:rsidR="002B41D9" w:rsidRPr="002B41D9" w:rsidTr="002B41D9">
        <w:tc>
          <w:tcPr>
            <w:tcW w:w="2628" w:type="dxa"/>
            <w:tcBorders>
              <w:right w:val="single" w:sz="4" w:space="0" w:color="auto"/>
            </w:tcBorders>
          </w:tcPr>
          <w:p w:rsidR="002B41D9" w:rsidRPr="002B41D9" w:rsidRDefault="002B41D9" w:rsidP="002B41D9">
            <w:pPr>
              <w:spacing w:line="276" w:lineRule="auto"/>
              <w:jc w:val="both"/>
              <w:rPr>
                <w:rFonts w:ascii="Garamond" w:hAnsi="Garamond" w:cs="Arial"/>
                <w:sz w:val="20"/>
                <w:szCs w:val="20"/>
              </w:rPr>
            </w:pPr>
            <w:r w:rsidRPr="002B41D9">
              <w:rPr>
                <w:rFonts w:ascii="Garamond" w:hAnsi="Garamond" w:cs="Arial"/>
                <w:sz w:val="20"/>
                <w:szCs w:val="20"/>
              </w:rPr>
              <w:t xml:space="preserve">Hourly labor </w:t>
            </w:r>
          </w:p>
        </w:tc>
        <w:tc>
          <w:tcPr>
            <w:tcW w:w="1080" w:type="dxa"/>
            <w:tcBorders>
              <w:left w:val="single" w:sz="4" w:space="0" w:color="auto"/>
            </w:tcBorders>
          </w:tcPr>
          <w:p w:rsidR="002B41D9" w:rsidRPr="002B41D9" w:rsidRDefault="002B41D9" w:rsidP="002B41D9">
            <w:pPr>
              <w:spacing w:line="276" w:lineRule="auto"/>
              <w:jc w:val="right"/>
              <w:rPr>
                <w:rFonts w:ascii="Garamond" w:hAnsi="Garamond" w:cs="Arial"/>
                <w:sz w:val="20"/>
                <w:szCs w:val="20"/>
              </w:rPr>
            </w:pPr>
          </w:p>
        </w:tc>
      </w:tr>
      <w:tr w:rsidR="002B41D9" w:rsidRPr="002B41D9" w:rsidTr="002B41D9">
        <w:tc>
          <w:tcPr>
            <w:tcW w:w="2628" w:type="dxa"/>
            <w:tcBorders>
              <w:right w:val="single" w:sz="4" w:space="0" w:color="auto"/>
            </w:tcBorders>
          </w:tcPr>
          <w:p w:rsidR="002B41D9" w:rsidRPr="002B41D9" w:rsidRDefault="002B41D9" w:rsidP="002B41D9">
            <w:pPr>
              <w:pStyle w:val="ListParagraph"/>
              <w:numPr>
                <w:ilvl w:val="0"/>
                <w:numId w:val="16"/>
              </w:numPr>
              <w:spacing w:line="276" w:lineRule="auto"/>
              <w:jc w:val="both"/>
              <w:rPr>
                <w:rFonts w:ascii="Garamond" w:hAnsi="Garamond" w:cs="Arial"/>
                <w:sz w:val="20"/>
                <w:szCs w:val="20"/>
              </w:rPr>
            </w:pPr>
            <w:r w:rsidRPr="002B41D9">
              <w:rPr>
                <w:rFonts w:ascii="Garamond" w:hAnsi="Garamond" w:cs="Arial"/>
                <w:sz w:val="20"/>
                <w:szCs w:val="20"/>
              </w:rPr>
              <w:t>benefits</w:t>
            </w:r>
          </w:p>
        </w:tc>
        <w:tc>
          <w:tcPr>
            <w:tcW w:w="1080" w:type="dxa"/>
            <w:tcBorders>
              <w:left w:val="single" w:sz="4" w:space="0" w:color="auto"/>
            </w:tcBorders>
          </w:tcPr>
          <w:p w:rsidR="002B41D9" w:rsidRPr="002B41D9" w:rsidRDefault="002B41D9" w:rsidP="002B41D9">
            <w:pPr>
              <w:spacing w:line="276" w:lineRule="auto"/>
              <w:jc w:val="right"/>
              <w:rPr>
                <w:rFonts w:ascii="Garamond" w:hAnsi="Garamond" w:cs="Arial"/>
                <w:sz w:val="20"/>
                <w:szCs w:val="20"/>
              </w:rPr>
            </w:pPr>
          </w:p>
        </w:tc>
      </w:tr>
      <w:tr w:rsidR="002B41D9" w:rsidRPr="002B41D9" w:rsidTr="002B41D9">
        <w:tc>
          <w:tcPr>
            <w:tcW w:w="2628" w:type="dxa"/>
            <w:tcBorders>
              <w:right w:val="single" w:sz="4" w:space="0" w:color="auto"/>
            </w:tcBorders>
          </w:tcPr>
          <w:p w:rsidR="002B41D9" w:rsidRPr="002B41D9" w:rsidRDefault="002B41D9" w:rsidP="002B41D9">
            <w:pPr>
              <w:spacing w:line="276" w:lineRule="auto"/>
              <w:jc w:val="both"/>
              <w:rPr>
                <w:rFonts w:ascii="Garamond" w:hAnsi="Garamond" w:cs="Arial"/>
                <w:sz w:val="20"/>
                <w:szCs w:val="20"/>
              </w:rPr>
            </w:pPr>
            <w:r w:rsidRPr="002B41D9">
              <w:rPr>
                <w:rFonts w:ascii="Garamond" w:hAnsi="Garamond" w:cs="Arial"/>
                <w:sz w:val="20"/>
                <w:szCs w:val="20"/>
              </w:rPr>
              <w:t>Land rent</w:t>
            </w:r>
          </w:p>
        </w:tc>
        <w:tc>
          <w:tcPr>
            <w:tcW w:w="1080" w:type="dxa"/>
            <w:tcBorders>
              <w:left w:val="single" w:sz="4" w:space="0" w:color="auto"/>
            </w:tcBorders>
          </w:tcPr>
          <w:p w:rsidR="002B41D9" w:rsidRPr="002B41D9" w:rsidRDefault="002B41D9" w:rsidP="002B41D9">
            <w:pPr>
              <w:spacing w:line="276" w:lineRule="auto"/>
              <w:jc w:val="right"/>
              <w:rPr>
                <w:rFonts w:ascii="Garamond" w:hAnsi="Garamond" w:cs="Arial"/>
                <w:sz w:val="20"/>
                <w:szCs w:val="20"/>
              </w:rPr>
            </w:pPr>
          </w:p>
        </w:tc>
      </w:tr>
      <w:tr w:rsidR="002B41D9" w:rsidRPr="002B41D9" w:rsidTr="002B41D9">
        <w:tc>
          <w:tcPr>
            <w:tcW w:w="2628" w:type="dxa"/>
            <w:tcBorders>
              <w:right w:val="single" w:sz="4" w:space="0" w:color="auto"/>
            </w:tcBorders>
          </w:tcPr>
          <w:p w:rsidR="002B41D9" w:rsidRPr="002B41D9" w:rsidRDefault="002B41D9" w:rsidP="002B41D9">
            <w:pPr>
              <w:spacing w:line="276" w:lineRule="auto"/>
              <w:jc w:val="both"/>
              <w:rPr>
                <w:rFonts w:ascii="Garamond" w:hAnsi="Garamond" w:cs="Arial"/>
                <w:sz w:val="20"/>
                <w:szCs w:val="20"/>
              </w:rPr>
            </w:pPr>
            <w:r w:rsidRPr="002B41D9">
              <w:rPr>
                <w:rFonts w:ascii="Garamond" w:hAnsi="Garamond" w:cs="Arial"/>
                <w:sz w:val="20"/>
                <w:szCs w:val="20"/>
              </w:rPr>
              <w:t>Field supplies</w:t>
            </w:r>
          </w:p>
        </w:tc>
        <w:tc>
          <w:tcPr>
            <w:tcW w:w="1080" w:type="dxa"/>
            <w:tcBorders>
              <w:left w:val="single" w:sz="4" w:space="0" w:color="auto"/>
            </w:tcBorders>
          </w:tcPr>
          <w:p w:rsidR="002B41D9" w:rsidRPr="002B41D9" w:rsidRDefault="002B41D9" w:rsidP="002B41D9">
            <w:pPr>
              <w:spacing w:line="276" w:lineRule="auto"/>
              <w:jc w:val="right"/>
              <w:rPr>
                <w:rFonts w:ascii="Garamond" w:hAnsi="Garamond" w:cs="Arial"/>
                <w:sz w:val="20"/>
                <w:szCs w:val="20"/>
              </w:rPr>
            </w:pPr>
          </w:p>
        </w:tc>
      </w:tr>
      <w:tr w:rsidR="002B41D9" w:rsidRPr="002B41D9" w:rsidTr="002B41D9">
        <w:tc>
          <w:tcPr>
            <w:tcW w:w="2628" w:type="dxa"/>
            <w:tcBorders>
              <w:bottom w:val="nil"/>
              <w:right w:val="single" w:sz="4" w:space="0" w:color="auto"/>
            </w:tcBorders>
          </w:tcPr>
          <w:p w:rsidR="002B41D9" w:rsidRPr="002B41D9" w:rsidRDefault="002B41D9" w:rsidP="002B41D9">
            <w:pPr>
              <w:spacing w:line="276" w:lineRule="auto"/>
              <w:jc w:val="both"/>
              <w:rPr>
                <w:rFonts w:ascii="Garamond" w:hAnsi="Garamond" w:cs="Arial"/>
                <w:sz w:val="20"/>
                <w:szCs w:val="20"/>
              </w:rPr>
            </w:pPr>
            <w:r w:rsidRPr="002B41D9">
              <w:rPr>
                <w:rFonts w:ascii="Garamond" w:hAnsi="Garamond" w:cs="Arial"/>
                <w:sz w:val="20"/>
                <w:szCs w:val="20"/>
              </w:rPr>
              <w:t>Travel</w:t>
            </w:r>
          </w:p>
        </w:tc>
        <w:tc>
          <w:tcPr>
            <w:tcW w:w="1080" w:type="dxa"/>
            <w:tcBorders>
              <w:left w:val="single" w:sz="4" w:space="0" w:color="auto"/>
              <w:bottom w:val="nil"/>
            </w:tcBorders>
          </w:tcPr>
          <w:p w:rsidR="002B41D9" w:rsidRPr="002B41D9" w:rsidRDefault="002B41D9" w:rsidP="002B41D9">
            <w:pPr>
              <w:spacing w:line="276" w:lineRule="auto"/>
              <w:jc w:val="right"/>
              <w:rPr>
                <w:rFonts w:ascii="Garamond" w:hAnsi="Garamond" w:cs="Arial"/>
                <w:sz w:val="20"/>
                <w:szCs w:val="20"/>
              </w:rPr>
            </w:pPr>
          </w:p>
        </w:tc>
      </w:tr>
      <w:tr w:rsidR="002B41D9" w:rsidRPr="002B41D9" w:rsidTr="002B41D9">
        <w:tc>
          <w:tcPr>
            <w:tcW w:w="2628" w:type="dxa"/>
            <w:tcBorders>
              <w:top w:val="nil"/>
              <w:bottom w:val="single" w:sz="4" w:space="0" w:color="auto"/>
              <w:right w:val="single" w:sz="4" w:space="0" w:color="auto"/>
            </w:tcBorders>
          </w:tcPr>
          <w:p w:rsidR="002B41D9" w:rsidRPr="002B41D9" w:rsidRDefault="002B41D9" w:rsidP="002B41D9">
            <w:pPr>
              <w:spacing w:line="276" w:lineRule="auto"/>
              <w:jc w:val="both"/>
              <w:rPr>
                <w:rFonts w:ascii="Garamond" w:hAnsi="Garamond" w:cs="Arial"/>
                <w:sz w:val="20"/>
                <w:szCs w:val="20"/>
              </w:rPr>
            </w:pPr>
            <w:r w:rsidRPr="002B41D9">
              <w:rPr>
                <w:rFonts w:ascii="Garamond" w:hAnsi="Garamond" w:cs="Arial"/>
                <w:sz w:val="20"/>
                <w:szCs w:val="20"/>
              </w:rPr>
              <w:t>Other</w:t>
            </w:r>
          </w:p>
        </w:tc>
        <w:tc>
          <w:tcPr>
            <w:tcW w:w="1080" w:type="dxa"/>
            <w:tcBorders>
              <w:top w:val="nil"/>
              <w:left w:val="single" w:sz="4" w:space="0" w:color="auto"/>
              <w:bottom w:val="single" w:sz="4" w:space="0" w:color="auto"/>
            </w:tcBorders>
          </w:tcPr>
          <w:p w:rsidR="002B41D9" w:rsidRPr="002B41D9" w:rsidRDefault="002B41D9" w:rsidP="002B41D9">
            <w:pPr>
              <w:spacing w:line="276" w:lineRule="auto"/>
              <w:jc w:val="right"/>
              <w:rPr>
                <w:rFonts w:ascii="Garamond" w:hAnsi="Garamond" w:cs="Arial"/>
                <w:sz w:val="20"/>
                <w:szCs w:val="20"/>
              </w:rPr>
            </w:pPr>
          </w:p>
        </w:tc>
      </w:tr>
      <w:tr w:rsidR="002B41D9" w:rsidRPr="002B41D9" w:rsidTr="002B41D9">
        <w:tc>
          <w:tcPr>
            <w:tcW w:w="2628" w:type="dxa"/>
            <w:tcBorders>
              <w:top w:val="single" w:sz="4" w:space="0" w:color="auto"/>
              <w:bottom w:val="nil"/>
              <w:right w:val="single" w:sz="4" w:space="0" w:color="auto"/>
            </w:tcBorders>
          </w:tcPr>
          <w:p w:rsidR="002B41D9" w:rsidRPr="002B41D9" w:rsidRDefault="002B41D9" w:rsidP="002B41D9">
            <w:pPr>
              <w:spacing w:line="276" w:lineRule="auto"/>
              <w:jc w:val="both"/>
              <w:rPr>
                <w:rFonts w:ascii="Garamond" w:hAnsi="Garamond" w:cs="Arial"/>
                <w:i/>
                <w:sz w:val="20"/>
                <w:szCs w:val="20"/>
              </w:rPr>
            </w:pPr>
            <w:r w:rsidRPr="002B41D9">
              <w:rPr>
                <w:rFonts w:ascii="Garamond" w:hAnsi="Garamond" w:cs="Arial"/>
                <w:i/>
                <w:sz w:val="20"/>
                <w:szCs w:val="20"/>
              </w:rPr>
              <w:t>Subtotal</w:t>
            </w:r>
          </w:p>
        </w:tc>
        <w:tc>
          <w:tcPr>
            <w:tcW w:w="1080" w:type="dxa"/>
            <w:tcBorders>
              <w:top w:val="single" w:sz="4" w:space="0" w:color="auto"/>
              <w:left w:val="single" w:sz="4" w:space="0" w:color="auto"/>
              <w:bottom w:val="nil"/>
            </w:tcBorders>
          </w:tcPr>
          <w:p w:rsidR="002B41D9" w:rsidRPr="002B41D9" w:rsidRDefault="002B41D9" w:rsidP="002B41D9">
            <w:pPr>
              <w:spacing w:line="276" w:lineRule="auto"/>
              <w:jc w:val="right"/>
              <w:rPr>
                <w:rFonts w:ascii="Garamond" w:hAnsi="Garamond" w:cs="Arial"/>
                <w:i/>
                <w:sz w:val="20"/>
                <w:szCs w:val="20"/>
              </w:rPr>
            </w:pPr>
          </w:p>
        </w:tc>
      </w:tr>
      <w:tr w:rsidR="002B41D9" w:rsidRPr="002B41D9" w:rsidTr="002B41D9">
        <w:tc>
          <w:tcPr>
            <w:tcW w:w="2628" w:type="dxa"/>
            <w:tcBorders>
              <w:top w:val="nil"/>
              <w:bottom w:val="single" w:sz="4" w:space="0" w:color="auto"/>
              <w:right w:val="single" w:sz="4" w:space="0" w:color="auto"/>
            </w:tcBorders>
          </w:tcPr>
          <w:p w:rsidR="002B41D9" w:rsidRPr="002B41D9" w:rsidRDefault="002B41D9" w:rsidP="002B41D9">
            <w:pPr>
              <w:spacing w:line="276" w:lineRule="auto"/>
              <w:jc w:val="both"/>
              <w:rPr>
                <w:rFonts w:ascii="Garamond" w:hAnsi="Garamond" w:cs="Arial"/>
                <w:b/>
                <w:sz w:val="20"/>
                <w:szCs w:val="20"/>
              </w:rPr>
            </w:pPr>
            <w:r w:rsidRPr="002B41D9">
              <w:rPr>
                <w:rFonts w:ascii="Garamond" w:hAnsi="Garamond" w:cs="Arial"/>
                <w:b/>
                <w:sz w:val="20"/>
                <w:szCs w:val="20"/>
              </w:rPr>
              <w:t>Indirect costs (15%)</w:t>
            </w:r>
          </w:p>
        </w:tc>
        <w:tc>
          <w:tcPr>
            <w:tcW w:w="1080" w:type="dxa"/>
            <w:tcBorders>
              <w:top w:val="nil"/>
              <w:left w:val="single" w:sz="4" w:space="0" w:color="auto"/>
              <w:bottom w:val="single" w:sz="4" w:space="0" w:color="auto"/>
            </w:tcBorders>
          </w:tcPr>
          <w:p w:rsidR="002B41D9" w:rsidRPr="002B41D9" w:rsidRDefault="002B41D9" w:rsidP="002B41D9">
            <w:pPr>
              <w:spacing w:line="276" w:lineRule="auto"/>
              <w:jc w:val="right"/>
              <w:rPr>
                <w:rFonts w:ascii="Garamond" w:hAnsi="Garamond" w:cs="Arial"/>
                <w:b/>
                <w:sz w:val="20"/>
                <w:szCs w:val="20"/>
              </w:rPr>
            </w:pPr>
          </w:p>
        </w:tc>
      </w:tr>
      <w:tr w:rsidR="002B41D9" w:rsidRPr="002B41D9" w:rsidTr="002B41D9">
        <w:tc>
          <w:tcPr>
            <w:tcW w:w="2628" w:type="dxa"/>
            <w:tcBorders>
              <w:top w:val="single" w:sz="4" w:space="0" w:color="auto"/>
              <w:right w:val="single" w:sz="4" w:space="0" w:color="auto"/>
            </w:tcBorders>
          </w:tcPr>
          <w:p w:rsidR="002B41D9" w:rsidRPr="002B41D9" w:rsidRDefault="002B41D9" w:rsidP="002B41D9">
            <w:pPr>
              <w:spacing w:line="276" w:lineRule="auto"/>
              <w:jc w:val="both"/>
              <w:rPr>
                <w:rFonts w:ascii="Garamond" w:hAnsi="Garamond" w:cs="Arial"/>
                <w:b/>
                <w:sz w:val="20"/>
                <w:szCs w:val="20"/>
              </w:rPr>
            </w:pPr>
            <w:r w:rsidRPr="002B41D9">
              <w:rPr>
                <w:rFonts w:ascii="Garamond" w:hAnsi="Garamond" w:cs="Arial"/>
                <w:b/>
                <w:sz w:val="20"/>
                <w:szCs w:val="20"/>
              </w:rPr>
              <w:t>TOTAL</w:t>
            </w:r>
          </w:p>
        </w:tc>
        <w:tc>
          <w:tcPr>
            <w:tcW w:w="1080" w:type="dxa"/>
            <w:tcBorders>
              <w:top w:val="single" w:sz="4" w:space="0" w:color="auto"/>
              <w:left w:val="single" w:sz="4" w:space="0" w:color="auto"/>
              <w:bottom w:val="single" w:sz="4" w:space="0" w:color="auto"/>
            </w:tcBorders>
          </w:tcPr>
          <w:p w:rsidR="002B41D9" w:rsidRPr="002B41D9" w:rsidRDefault="002B41D9" w:rsidP="002B41D9">
            <w:pPr>
              <w:spacing w:line="276" w:lineRule="auto"/>
              <w:jc w:val="right"/>
              <w:rPr>
                <w:rFonts w:ascii="Garamond" w:hAnsi="Garamond" w:cs="Arial"/>
                <w:b/>
                <w:sz w:val="20"/>
                <w:szCs w:val="20"/>
              </w:rPr>
            </w:pPr>
          </w:p>
        </w:tc>
      </w:tr>
    </w:tbl>
    <w:p w:rsidR="00661326" w:rsidRPr="002B41D9" w:rsidRDefault="00661326" w:rsidP="00E4782A">
      <w:pPr>
        <w:spacing w:line="276" w:lineRule="auto"/>
        <w:ind w:left="1440" w:hanging="360"/>
        <w:rPr>
          <w:rFonts w:ascii="Garamond" w:hAnsi="Garamond" w:cs="Arial"/>
          <w:sz w:val="20"/>
          <w:szCs w:val="20"/>
        </w:rPr>
      </w:pPr>
      <w:r w:rsidRPr="002B41D9">
        <w:rPr>
          <w:rFonts w:ascii="Garamond" w:hAnsi="Garamond" w:cs="Arial"/>
          <w:sz w:val="20"/>
          <w:szCs w:val="20"/>
        </w:rPr>
        <w:t>b.</w:t>
      </w:r>
      <w:r w:rsidRPr="002B41D9">
        <w:rPr>
          <w:rFonts w:ascii="Garamond" w:hAnsi="Garamond" w:cs="Arial"/>
          <w:sz w:val="20"/>
          <w:szCs w:val="20"/>
        </w:rPr>
        <w:tab/>
        <w:t>In the field where the IBC LOG # is usually listed, insert the word “marketed.” This code word will indicate to the IBC Administrator/Coordinator that the project uses a GMO approved by the USDA so further IBC approval is not needed (i.e. additional IBC paperwork will not be required).</w:t>
      </w:r>
    </w:p>
    <w:p w:rsidR="00661326" w:rsidRPr="00FF77FE" w:rsidRDefault="00661326" w:rsidP="00FF77FE">
      <w:pPr>
        <w:pStyle w:val="ListParagraph"/>
        <w:numPr>
          <w:ilvl w:val="0"/>
          <w:numId w:val="13"/>
        </w:numPr>
        <w:spacing w:line="276" w:lineRule="auto"/>
        <w:rPr>
          <w:rFonts w:ascii="Garamond" w:hAnsi="Garamond" w:cs="Arial"/>
          <w:sz w:val="20"/>
          <w:szCs w:val="20"/>
        </w:rPr>
      </w:pPr>
      <w:r w:rsidRPr="002B41D9">
        <w:rPr>
          <w:rFonts w:ascii="Garamond" w:hAnsi="Garamond" w:cs="Arial"/>
          <w:sz w:val="20"/>
          <w:szCs w:val="20"/>
        </w:rPr>
        <w:t>Budget: Developing budgets for Field Trials can be challenging due to the nature of these projects. For Non-</w:t>
      </w:r>
      <w:r w:rsidRPr="00FF77FE">
        <w:rPr>
          <w:rFonts w:ascii="Garamond" w:hAnsi="Garamond" w:cs="Arial"/>
          <w:sz w:val="20"/>
          <w:szCs w:val="20"/>
        </w:rPr>
        <w:t>Confidential trials (see page 1 for definition), you can list the entire budget amount in ‘</w:t>
      </w:r>
      <w:proofErr w:type="gramStart"/>
      <w:r w:rsidRPr="00FF77FE">
        <w:rPr>
          <w:rFonts w:ascii="Garamond" w:hAnsi="Garamond" w:cs="Arial"/>
          <w:sz w:val="20"/>
          <w:szCs w:val="20"/>
        </w:rPr>
        <w:t>Other</w:t>
      </w:r>
      <w:proofErr w:type="gramEnd"/>
      <w:r w:rsidRPr="00FF77FE">
        <w:rPr>
          <w:rFonts w:ascii="Garamond" w:hAnsi="Garamond" w:cs="Arial"/>
          <w:sz w:val="20"/>
          <w:szCs w:val="20"/>
        </w:rPr>
        <w:t>: Other’.  For Confidential (see page 1) trials, use a simplified budget such as the one shown on the right.</w:t>
      </w:r>
    </w:p>
    <w:p w:rsidR="00661326" w:rsidRPr="002B41D9" w:rsidRDefault="00661326" w:rsidP="00E4782A">
      <w:pPr>
        <w:pStyle w:val="ListParagraph"/>
        <w:numPr>
          <w:ilvl w:val="0"/>
          <w:numId w:val="13"/>
        </w:numPr>
        <w:spacing w:line="276" w:lineRule="auto"/>
        <w:rPr>
          <w:rFonts w:ascii="Garamond" w:hAnsi="Garamond" w:cs="Arial"/>
          <w:sz w:val="20"/>
          <w:szCs w:val="20"/>
        </w:rPr>
      </w:pPr>
      <w:r w:rsidRPr="002B41D9">
        <w:rPr>
          <w:rFonts w:ascii="Garamond" w:hAnsi="Garamond" w:cs="Arial"/>
          <w:sz w:val="20"/>
          <w:szCs w:val="20"/>
        </w:rPr>
        <w:t>A 15% indirect cost rate (of total direct costs) applies to all Field Trials (</w:t>
      </w:r>
      <w:hyperlink r:id="rId10" w:history="1">
        <w:r w:rsidRPr="00FF77FE">
          <w:rPr>
            <w:rFonts w:ascii="Garamond" w:hAnsi="Garamond"/>
            <w:sz w:val="18"/>
            <w:szCs w:val="18"/>
          </w:rPr>
          <w:t>http://www.vpresearch.iastate.edu/index.cfm?nodeID=48337&amp;audienceID=1</w:t>
        </w:r>
      </w:hyperlink>
      <w:r w:rsidR="00FF77FE">
        <w:rPr>
          <w:rFonts w:ascii="Garamond" w:hAnsi="Garamond"/>
          <w:sz w:val="18"/>
          <w:szCs w:val="18"/>
        </w:rPr>
        <w:t>)</w:t>
      </w:r>
      <w:r w:rsidRPr="002B41D9">
        <w:rPr>
          <w:rFonts w:ascii="Garamond" w:hAnsi="Garamond" w:cs="Arial"/>
          <w:sz w:val="20"/>
          <w:szCs w:val="20"/>
        </w:rPr>
        <w:t>.</w:t>
      </w:r>
    </w:p>
    <w:p w:rsidR="00661326" w:rsidRPr="002B41D9" w:rsidRDefault="00661326" w:rsidP="00E4782A">
      <w:pPr>
        <w:pStyle w:val="ListParagraph"/>
        <w:numPr>
          <w:ilvl w:val="0"/>
          <w:numId w:val="13"/>
        </w:numPr>
        <w:spacing w:line="276" w:lineRule="auto"/>
        <w:rPr>
          <w:rFonts w:ascii="Garamond" w:hAnsi="Garamond" w:cs="Arial"/>
          <w:sz w:val="20"/>
          <w:szCs w:val="20"/>
        </w:rPr>
      </w:pPr>
      <w:r w:rsidRPr="002B41D9">
        <w:rPr>
          <w:rFonts w:ascii="Garamond" w:hAnsi="Garamond" w:cs="Arial"/>
          <w:sz w:val="20"/>
          <w:szCs w:val="20"/>
        </w:rPr>
        <w:t xml:space="preserve">If the project is ready for an agreement, indicate in the Notes section that Industry-Contracts should initiate an agreement.  </w:t>
      </w:r>
      <w:r w:rsidR="004110A9">
        <w:rPr>
          <w:rFonts w:ascii="Garamond" w:hAnsi="Garamond" w:cs="Arial"/>
          <w:sz w:val="20"/>
          <w:szCs w:val="20"/>
        </w:rPr>
        <w:t xml:space="preserve">Provide </w:t>
      </w:r>
      <w:r w:rsidRPr="002B41D9">
        <w:rPr>
          <w:rFonts w:ascii="Garamond" w:hAnsi="Garamond" w:cs="Arial"/>
          <w:sz w:val="20"/>
          <w:szCs w:val="20"/>
        </w:rPr>
        <w:t>the name and contact information (including email address and phone number if available) for the contact person at the sponsor.</w:t>
      </w:r>
    </w:p>
    <w:p w:rsidR="00661326" w:rsidRPr="002B41D9" w:rsidRDefault="00661326" w:rsidP="00E4782A">
      <w:pPr>
        <w:pStyle w:val="ListParagraph"/>
        <w:numPr>
          <w:ilvl w:val="0"/>
          <w:numId w:val="13"/>
        </w:numPr>
        <w:spacing w:line="276" w:lineRule="auto"/>
        <w:rPr>
          <w:rFonts w:ascii="Garamond" w:hAnsi="Garamond" w:cs="Arial"/>
          <w:sz w:val="20"/>
          <w:szCs w:val="20"/>
        </w:rPr>
      </w:pPr>
      <w:r w:rsidRPr="002B41D9">
        <w:rPr>
          <w:rFonts w:ascii="Garamond" w:hAnsi="Garamond" w:cs="Arial"/>
          <w:sz w:val="20"/>
          <w:szCs w:val="20"/>
        </w:rPr>
        <w:t>If the agreement must be signed prior to materials being sent from the sponsor, indicate that in the Notes section and identify the important dates (e.g., planting).</w:t>
      </w:r>
    </w:p>
    <w:p w:rsidR="00661326" w:rsidRPr="002B41D9" w:rsidRDefault="00661326" w:rsidP="00E4782A">
      <w:pPr>
        <w:pStyle w:val="ListParagraph"/>
        <w:numPr>
          <w:ilvl w:val="0"/>
          <w:numId w:val="13"/>
        </w:numPr>
        <w:spacing w:line="276" w:lineRule="auto"/>
        <w:rPr>
          <w:rFonts w:ascii="Garamond" w:hAnsi="Garamond" w:cs="Arial"/>
          <w:sz w:val="20"/>
          <w:szCs w:val="20"/>
        </w:rPr>
      </w:pPr>
      <w:r w:rsidRPr="002B41D9">
        <w:rPr>
          <w:rFonts w:ascii="Garamond" w:hAnsi="Garamond" w:cs="Arial"/>
          <w:sz w:val="20"/>
          <w:szCs w:val="20"/>
        </w:rPr>
        <w:t>If a check has been sent, attach a copy to the GoldSheet.</w:t>
      </w:r>
      <w:r w:rsidR="00EE75F3">
        <w:rPr>
          <w:rFonts w:ascii="Garamond" w:hAnsi="Garamond" w:cs="Arial"/>
          <w:sz w:val="20"/>
          <w:szCs w:val="20"/>
        </w:rPr>
        <w:t xml:space="preserve"> Departments should forward the actual checks to Sponsored Programs Accounting with a note stating the related GoldSheet number and account number.</w:t>
      </w:r>
    </w:p>
    <w:p w:rsidR="00661326" w:rsidRPr="002B41D9" w:rsidRDefault="00661326" w:rsidP="0086455F">
      <w:pPr>
        <w:ind w:left="720" w:hanging="360"/>
        <w:rPr>
          <w:rFonts w:ascii="Garamond" w:hAnsi="Garamond" w:cs="Arial"/>
          <w:sz w:val="20"/>
          <w:szCs w:val="20"/>
        </w:rPr>
      </w:pPr>
    </w:p>
    <w:p w:rsidR="00661326" w:rsidRPr="002B41D9" w:rsidRDefault="00661326">
      <w:pPr>
        <w:rPr>
          <w:rFonts w:ascii="Garamond" w:hAnsi="Garamond" w:cs="Arial"/>
          <w:sz w:val="20"/>
          <w:szCs w:val="20"/>
        </w:rPr>
      </w:pPr>
      <w:r w:rsidRPr="002B41D9">
        <w:rPr>
          <w:rFonts w:ascii="Garamond" w:hAnsi="Garamond" w:cs="Arial"/>
          <w:sz w:val="20"/>
          <w:szCs w:val="20"/>
        </w:rPr>
        <w:br w:type="page"/>
      </w:r>
    </w:p>
    <w:p w:rsidR="0086455F" w:rsidRPr="002B41D9" w:rsidRDefault="004110A9" w:rsidP="0086455F">
      <w:pPr>
        <w:ind w:left="720" w:hanging="360"/>
        <w:rPr>
          <w:rFonts w:ascii="Garamond" w:hAnsi="Garamond"/>
          <w:sz w:val="20"/>
          <w:szCs w:val="20"/>
        </w:rPr>
      </w:pPr>
      <w:r>
        <w:rPr>
          <w:rFonts w:ascii="Garamond" w:hAnsi="Garamond" w:cs="Arial"/>
          <w:sz w:val="20"/>
          <w:szCs w:val="20"/>
        </w:rPr>
        <w:lastRenderedPageBreak/>
        <w:t>8</w:t>
      </w:r>
      <w:r w:rsidR="0086455F" w:rsidRPr="002B41D9">
        <w:rPr>
          <w:rFonts w:ascii="Garamond" w:hAnsi="Garamond" w:cs="Arial"/>
          <w:sz w:val="20"/>
          <w:szCs w:val="20"/>
        </w:rPr>
        <w:t xml:space="preserve">.   </w:t>
      </w:r>
      <w:r w:rsidR="0086455F" w:rsidRPr="002B41D9">
        <w:rPr>
          <w:rFonts w:ascii="Garamond" w:hAnsi="Garamond"/>
          <w:b/>
          <w:sz w:val="20"/>
          <w:szCs w:val="20"/>
        </w:rPr>
        <w:t xml:space="preserve">Account </w:t>
      </w:r>
      <w:r w:rsidR="001A1CA3">
        <w:rPr>
          <w:rFonts w:ascii="Garamond" w:hAnsi="Garamond"/>
          <w:b/>
          <w:sz w:val="20"/>
          <w:szCs w:val="20"/>
        </w:rPr>
        <w:t>Types</w:t>
      </w:r>
      <w:r w:rsidR="0086455F" w:rsidRPr="002B41D9">
        <w:rPr>
          <w:rFonts w:ascii="Garamond" w:hAnsi="Garamond"/>
          <w:b/>
          <w:sz w:val="20"/>
          <w:szCs w:val="20"/>
        </w:rPr>
        <w:t>:</w:t>
      </w:r>
      <w:r w:rsidR="0086455F" w:rsidRPr="002B41D9">
        <w:rPr>
          <w:rFonts w:ascii="Garamond" w:hAnsi="Garamond"/>
          <w:sz w:val="20"/>
          <w:szCs w:val="20"/>
        </w:rPr>
        <w:t xml:space="preserve">  There are three different account set-up options available for </w:t>
      </w:r>
      <w:r w:rsidR="00741B96" w:rsidRPr="002B41D9">
        <w:rPr>
          <w:rFonts w:ascii="Garamond" w:hAnsi="Garamond"/>
          <w:sz w:val="20"/>
          <w:szCs w:val="20"/>
        </w:rPr>
        <w:t>field trial</w:t>
      </w:r>
      <w:r w:rsidR="009173DF" w:rsidRPr="002B41D9">
        <w:rPr>
          <w:rFonts w:ascii="Garamond" w:hAnsi="Garamond"/>
          <w:sz w:val="20"/>
          <w:szCs w:val="20"/>
        </w:rPr>
        <w:t xml:space="preserve"> agreements</w:t>
      </w:r>
      <w:r w:rsidR="0086455F" w:rsidRPr="002B41D9">
        <w:rPr>
          <w:rFonts w:ascii="Garamond" w:hAnsi="Garamond"/>
          <w:sz w:val="20"/>
          <w:szCs w:val="20"/>
        </w:rPr>
        <w:t xml:space="preserve">.  </w:t>
      </w:r>
    </w:p>
    <w:p w:rsidR="00752468" w:rsidRPr="002B41D9" w:rsidRDefault="00306343" w:rsidP="00752468">
      <w:pPr>
        <w:pStyle w:val="ListParagraph"/>
        <w:numPr>
          <w:ilvl w:val="1"/>
          <w:numId w:val="1"/>
        </w:numPr>
        <w:rPr>
          <w:rFonts w:ascii="Garamond" w:hAnsi="Garamond" w:cs="Arial"/>
          <w:sz w:val="20"/>
          <w:szCs w:val="20"/>
        </w:rPr>
      </w:pPr>
      <w:r w:rsidRPr="002B41D9">
        <w:rPr>
          <w:rFonts w:ascii="Garamond" w:hAnsi="Garamond" w:cs="Arial"/>
          <w:sz w:val="20"/>
          <w:szCs w:val="20"/>
          <w:u w:val="single"/>
        </w:rPr>
        <w:t>Regular Account</w:t>
      </w:r>
      <w:r w:rsidRPr="002B41D9">
        <w:rPr>
          <w:rFonts w:ascii="Garamond" w:hAnsi="Garamond" w:cs="Arial"/>
          <w:sz w:val="20"/>
          <w:szCs w:val="20"/>
        </w:rPr>
        <w:t xml:space="preserve"> – this account type includes most research agreements set up in SPA with a single account number</w:t>
      </w:r>
      <w:r w:rsidR="00DE16C4" w:rsidRPr="002B41D9">
        <w:rPr>
          <w:rFonts w:ascii="Garamond" w:hAnsi="Garamond" w:cs="Arial"/>
          <w:sz w:val="20"/>
          <w:szCs w:val="20"/>
        </w:rPr>
        <w:t xml:space="preserve"> for a single agreement</w:t>
      </w:r>
      <w:r w:rsidRPr="002B41D9">
        <w:rPr>
          <w:rFonts w:ascii="Garamond" w:hAnsi="Garamond" w:cs="Arial"/>
          <w:sz w:val="20"/>
          <w:szCs w:val="20"/>
        </w:rPr>
        <w:t xml:space="preserve"> wh</w:t>
      </w:r>
      <w:r w:rsidR="008774DA" w:rsidRPr="002B41D9">
        <w:rPr>
          <w:rFonts w:ascii="Garamond" w:hAnsi="Garamond" w:cs="Arial"/>
          <w:sz w:val="20"/>
          <w:szCs w:val="20"/>
        </w:rPr>
        <w:t>ich ends when the agreement terminates</w:t>
      </w:r>
      <w:r w:rsidRPr="002B41D9">
        <w:rPr>
          <w:rFonts w:ascii="Garamond" w:hAnsi="Garamond" w:cs="Arial"/>
          <w:sz w:val="20"/>
          <w:szCs w:val="20"/>
        </w:rPr>
        <w:t>.</w:t>
      </w:r>
    </w:p>
    <w:p w:rsidR="00752468" w:rsidRPr="002B41D9" w:rsidRDefault="00710C03" w:rsidP="00752468">
      <w:pPr>
        <w:pStyle w:val="ListParagraph"/>
        <w:numPr>
          <w:ilvl w:val="1"/>
          <w:numId w:val="1"/>
        </w:numPr>
        <w:rPr>
          <w:rFonts w:ascii="Garamond" w:hAnsi="Garamond" w:cs="Arial"/>
          <w:sz w:val="20"/>
          <w:szCs w:val="20"/>
        </w:rPr>
      </w:pPr>
      <w:r w:rsidRPr="002B41D9">
        <w:rPr>
          <w:rFonts w:ascii="Garamond" w:hAnsi="Garamond"/>
          <w:sz w:val="20"/>
          <w:szCs w:val="20"/>
          <w:u w:val="single"/>
        </w:rPr>
        <w:t>Various Sponsor</w:t>
      </w:r>
      <w:r w:rsidR="0086455F" w:rsidRPr="002B41D9">
        <w:rPr>
          <w:rFonts w:ascii="Garamond" w:hAnsi="Garamond"/>
          <w:sz w:val="20"/>
          <w:szCs w:val="20"/>
          <w:u w:val="single"/>
        </w:rPr>
        <w:t xml:space="preserve"> Account</w:t>
      </w:r>
      <w:r w:rsidR="0086455F" w:rsidRPr="002B41D9">
        <w:rPr>
          <w:rFonts w:ascii="Garamond" w:hAnsi="Garamond"/>
          <w:sz w:val="20"/>
          <w:szCs w:val="20"/>
        </w:rPr>
        <w:t xml:space="preserve"> – </w:t>
      </w:r>
      <w:r w:rsidR="00306343" w:rsidRPr="002B41D9">
        <w:rPr>
          <w:rFonts w:ascii="Garamond" w:hAnsi="Garamond"/>
          <w:sz w:val="20"/>
          <w:szCs w:val="20"/>
        </w:rPr>
        <w:t xml:space="preserve">this account type can include multiple, separate </w:t>
      </w:r>
      <w:r w:rsidR="00741B96" w:rsidRPr="002B41D9">
        <w:rPr>
          <w:rFonts w:ascii="Garamond" w:hAnsi="Garamond"/>
          <w:sz w:val="20"/>
          <w:szCs w:val="20"/>
        </w:rPr>
        <w:t>field trial</w:t>
      </w:r>
      <w:r w:rsidR="00306343" w:rsidRPr="002B41D9">
        <w:rPr>
          <w:rFonts w:ascii="Garamond" w:hAnsi="Garamond"/>
          <w:sz w:val="20"/>
          <w:szCs w:val="20"/>
        </w:rPr>
        <w:t xml:space="preserve"> agreements from different sponsors and the account can remain open for as long as the PI is conducting </w:t>
      </w:r>
      <w:r w:rsidR="00741B96" w:rsidRPr="002B41D9">
        <w:rPr>
          <w:rFonts w:ascii="Garamond" w:hAnsi="Garamond"/>
          <w:sz w:val="20"/>
          <w:szCs w:val="20"/>
        </w:rPr>
        <w:t>field trial</w:t>
      </w:r>
      <w:r w:rsidR="00306343" w:rsidRPr="002B41D9">
        <w:rPr>
          <w:rFonts w:ascii="Garamond" w:hAnsi="Garamond"/>
          <w:sz w:val="20"/>
          <w:szCs w:val="20"/>
        </w:rPr>
        <w:t xml:space="preserve">s. </w:t>
      </w:r>
    </w:p>
    <w:p w:rsidR="00752468" w:rsidRPr="002B41D9" w:rsidRDefault="00752468" w:rsidP="00752468">
      <w:pPr>
        <w:pStyle w:val="ListParagraph"/>
        <w:numPr>
          <w:ilvl w:val="1"/>
          <w:numId w:val="1"/>
        </w:numPr>
        <w:rPr>
          <w:rFonts w:ascii="Garamond" w:hAnsi="Garamond" w:cs="Arial"/>
          <w:sz w:val="20"/>
          <w:szCs w:val="20"/>
        </w:rPr>
      </w:pPr>
      <w:r w:rsidRPr="002B41D9">
        <w:rPr>
          <w:rFonts w:ascii="Garamond" w:hAnsi="Garamond" w:cs="Arial"/>
          <w:sz w:val="20"/>
          <w:szCs w:val="20"/>
          <w:u w:val="single"/>
        </w:rPr>
        <w:t xml:space="preserve">Single </w:t>
      </w:r>
      <w:r w:rsidR="00BB5E9E" w:rsidRPr="002B41D9">
        <w:rPr>
          <w:rFonts w:ascii="Garamond" w:hAnsi="Garamond" w:cs="Arial"/>
          <w:sz w:val="20"/>
          <w:szCs w:val="20"/>
          <w:u w:val="single"/>
        </w:rPr>
        <w:t>Sponsor</w:t>
      </w:r>
      <w:r w:rsidRPr="002B41D9">
        <w:rPr>
          <w:rFonts w:ascii="Garamond" w:hAnsi="Garamond" w:cs="Arial"/>
          <w:sz w:val="20"/>
          <w:szCs w:val="20"/>
          <w:u w:val="single"/>
        </w:rPr>
        <w:t xml:space="preserve"> Account</w:t>
      </w:r>
      <w:r w:rsidRPr="002B41D9">
        <w:rPr>
          <w:rFonts w:ascii="Garamond" w:hAnsi="Garamond" w:cs="Arial"/>
          <w:sz w:val="20"/>
          <w:szCs w:val="20"/>
        </w:rPr>
        <w:t xml:space="preserve"> – this account type can include</w:t>
      </w:r>
      <w:r w:rsidR="000D5FA1" w:rsidRPr="002B41D9">
        <w:rPr>
          <w:rFonts w:ascii="Garamond" w:hAnsi="Garamond" w:cs="Arial"/>
          <w:sz w:val="20"/>
          <w:szCs w:val="20"/>
        </w:rPr>
        <w:t xml:space="preserve"> multiple</w:t>
      </w:r>
      <w:r w:rsidRPr="002B41D9">
        <w:rPr>
          <w:rFonts w:ascii="Garamond" w:hAnsi="Garamond" w:cs="Arial"/>
          <w:sz w:val="20"/>
          <w:szCs w:val="20"/>
        </w:rPr>
        <w:t xml:space="preserve"> </w:t>
      </w:r>
      <w:r w:rsidR="00741B96" w:rsidRPr="002B41D9">
        <w:rPr>
          <w:rFonts w:ascii="Garamond" w:hAnsi="Garamond" w:cs="Arial"/>
          <w:sz w:val="20"/>
          <w:szCs w:val="20"/>
        </w:rPr>
        <w:t>field trial</w:t>
      </w:r>
      <w:r w:rsidRPr="002B41D9">
        <w:rPr>
          <w:rFonts w:ascii="Garamond" w:hAnsi="Garamond" w:cs="Arial"/>
          <w:sz w:val="20"/>
          <w:szCs w:val="20"/>
        </w:rPr>
        <w:t xml:space="preserve">s under separate agreements from one sponsor and the account can remain open for </w:t>
      </w:r>
      <w:r w:rsidR="00741B96" w:rsidRPr="002B41D9">
        <w:rPr>
          <w:rFonts w:ascii="Garamond" w:hAnsi="Garamond" w:cs="Arial"/>
          <w:sz w:val="20"/>
          <w:szCs w:val="20"/>
        </w:rPr>
        <w:t>as long as the PI is conducting field trials.</w:t>
      </w:r>
      <w:r w:rsidR="00C8002B" w:rsidRPr="002B41D9">
        <w:rPr>
          <w:rFonts w:ascii="Garamond" w:hAnsi="Garamond" w:cs="Arial"/>
          <w:sz w:val="20"/>
          <w:szCs w:val="20"/>
        </w:rPr>
        <w:t xml:space="preserve"> </w:t>
      </w:r>
    </w:p>
    <w:p w:rsidR="00752468" w:rsidRPr="002B41D9" w:rsidRDefault="00752468" w:rsidP="00752468">
      <w:pPr>
        <w:ind w:left="720"/>
        <w:rPr>
          <w:rFonts w:ascii="Garamond" w:hAnsi="Garamond" w:cs="Arial"/>
          <w:b/>
          <w:sz w:val="20"/>
          <w:szCs w:val="20"/>
        </w:rPr>
      </w:pPr>
    </w:p>
    <w:p w:rsidR="00752468" w:rsidRPr="002B41D9" w:rsidRDefault="00752468" w:rsidP="00752468">
      <w:pPr>
        <w:ind w:left="720"/>
        <w:rPr>
          <w:rFonts w:ascii="Garamond" w:hAnsi="Garamond" w:cs="Arial"/>
          <w:b/>
          <w:sz w:val="20"/>
          <w:szCs w:val="20"/>
        </w:rPr>
      </w:pPr>
      <w:r w:rsidRPr="002B41D9">
        <w:rPr>
          <w:rFonts w:ascii="Garamond" w:hAnsi="Garamond" w:cs="Arial"/>
          <w:b/>
          <w:sz w:val="20"/>
          <w:szCs w:val="20"/>
        </w:rPr>
        <w:t>Account Qualifications</w:t>
      </w:r>
    </w:p>
    <w:p w:rsidR="001A1CA3" w:rsidRPr="002B41D9" w:rsidRDefault="001A1CA3" w:rsidP="001A1CA3">
      <w:pPr>
        <w:ind w:left="720"/>
        <w:rPr>
          <w:rFonts w:ascii="Garamond" w:hAnsi="Garamond" w:cs="Arial"/>
          <w:sz w:val="20"/>
          <w:szCs w:val="20"/>
        </w:rPr>
      </w:pPr>
      <w:r>
        <w:rPr>
          <w:rFonts w:ascii="Garamond" w:hAnsi="Garamond"/>
          <w:sz w:val="20"/>
          <w:szCs w:val="20"/>
          <w:u w:val="single"/>
        </w:rPr>
        <w:t>Regular Account</w:t>
      </w:r>
      <w:r w:rsidR="00CC0ACC" w:rsidRPr="00A92D57">
        <w:rPr>
          <w:rFonts w:ascii="Garamond" w:hAnsi="Garamond"/>
          <w:sz w:val="20"/>
          <w:szCs w:val="20"/>
        </w:rPr>
        <w:t xml:space="preserve"> - </w:t>
      </w:r>
      <w:r w:rsidRPr="002B41D9">
        <w:rPr>
          <w:rFonts w:ascii="Garamond" w:hAnsi="Garamond" w:cs="Arial"/>
          <w:sz w:val="20"/>
          <w:szCs w:val="20"/>
        </w:rPr>
        <w:t xml:space="preserve">Any field trial agreements which do not meet the requirements of the various sponsor account or single sponsor account will be set up as a regular account. </w:t>
      </w:r>
    </w:p>
    <w:p w:rsidR="009443BB" w:rsidRDefault="009443BB" w:rsidP="00A92D57">
      <w:pPr>
        <w:rPr>
          <w:rFonts w:ascii="Garamond" w:hAnsi="Garamond"/>
          <w:sz w:val="20"/>
          <w:szCs w:val="20"/>
          <w:u w:val="single"/>
        </w:rPr>
      </w:pPr>
    </w:p>
    <w:p w:rsidR="0086455F" w:rsidRPr="002B41D9" w:rsidRDefault="009C7AC8" w:rsidP="00752468">
      <w:pPr>
        <w:ind w:left="720"/>
        <w:rPr>
          <w:rFonts w:ascii="Garamond" w:hAnsi="Garamond" w:cs="Arial"/>
          <w:sz w:val="20"/>
          <w:szCs w:val="20"/>
        </w:rPr>
      </w:pPr>
      <w:r w:rsidRPr="002B41D9">
        <w:rPr>
          <w:rFonts w:ascii="Garamond" w:hAnsi="Garamond"/>
          <w:sz w:val="20"/>
          <w:szCs w:val="20"/>
          <w:u w:val="single"/>
        </w:rPr>
        <w:t>Various Sponsor</w:t>
      </w:r>
      <w:r w:rsidR="00F72582" w:rsidRPr="002B41D9">
        <w:rPr>
          <w:rFonts w:ascii="Garamond" w:hAnsi="Garamond"/>
          <w:sz w:val="20"/>
          <w:szCs w:val="20"/>
          <w:u w:val="single"/>
        </w:rPr>
        <w:t xml:space="preserve"> Account</w:t>
      </w:r>
      <w:r w:rsidR="00F72582" w:rsidRPr="002B41D9">
        <w:rPr>
          <w:rFonts w:ascii="Garamond" w:hAnsi="Garamond"/>
          <w:sz w:val="20"/>
          <w:szCs w:val="20"/>
        </w:rPr>
        <w:t xml:space="preserve"> - i</w:t>
      </w:r>
      <w:r w:rsidR="00306343" w:rsidRPr="002B41D9">
        <w:rPr>
          <w:rFonts w:ascii="Garamond" w:hAnsi="Garamond"/>
          <w:sz w:val="20"/>
          <w:szCs w:val="20"/>
        </w:rPr>
        <w:t xml:space="preserve">n order for a </w:t>
      </w:r>
      <w:r w:rsidR="00741B96" w:rsidRPr="002B41D9">
        <w:rPr>
          <w:rFonts w:ascii="Garamond" w:hAnsi="Garamond"/>
          <w:sz w:val="20"/>
          <w:szCs w:val="20"/>
        </w:rPr>
        <w:t>field trial</w:t>
      </w:r>
      <w:r w:rsidR="00752468" w:rsidRPr="002B41D9">
        <w:rPr>
          <w:rFonts w:ascii="Garamond" w:hAnsi="Garamond"/>
          <w:sz w:val="20"/>
          <w:szCs w:val="20"/>
        </w:rPr>
        <w:t xml:space="preserve"> agreement</w:t>
      </w:r>
      <w:r w:rsidR="00306343" w:rsidRPr="002B41D9">
        <w:rPr>
          <w:rFonts w:ascii="Garamond" w:hAnsi="Garamond"/>
          <w:sz w:val="20"/>
          <w:szCs w:val="20"/>
        </w:rPr>
        <w:t xml:space="preserve"> to qualify for a various </w:t>
      </w:r>
      <w:r w:rsidR="009D4AB5" w:rsidRPr="002B41D9">
        <w:rPr>
          <w:rFonts w:ascii="Garamond" w:hAnsi="Garamond"/>
          <w:sz w:val="20"/>
          <w:szCs w:val="20"/>
        </w:rPr>
        <w:t>sponsor</w:t>
      </w:r>
      <w:r w:rsidR="00306343" w:rsidRPr="002B41D9">
        <w:rPr>
          <w:rFonts w:ascii="Garamond" w:hAnsi="Garamond"/>
          <w:sz w:val="20"/>
          <w:szCs w:val="20"/>
        </w:rPr>
        <w:t xml:space="preserve"> account, the agreement must meet the following </w:t>
      </w:r>
      <w:r w:rsidR="00752468" w:rsidRPr="002B41D9">
        <w:rPr>
          <w:rFonts w:ascii="Garamond" w:hAnsi="Garamond"/>
          <w:sz w:val="20"/>
          <w:szCs w:val="20"/>
        </w:rPr>
        <w:t>criteria:</w:t>
      </w:r>
    </w:p>
    <w:p w:rsidR="00752468" w:rsidRPr="002B41D9" w:rsidRDefault="00752468" w:rsidP="0086455F">
      <w:pPr>
        <w:pStyle w:val="ListParagraph"/>
        <w:numPr>
          <w:ilvl w:val="2"/>
          <w:numId w:val="1"/>
        </w:numPr>
        <w:rPr>
          <w:rFonts w:ascii="Garamond" w:hAnsi="Garamond" w:cs="Arial"/>
          <w:sz w:val="20"/>
          <w:szCs w:val="20"/>
        </w:rPr>
      </w:pPr>
      <w:r w:rsidRPr="002B41D9">
        <w:rPr>
          <w:rFonts w:ascii="Garamond" w:hAnsi="Garamond"/>
          <w:sz w:val="20"/>
          <w:szCs w:val="20"/>
        </w:rPr>
        <w:t>The agreement may not incl</w:t>
      </w:r>
      <w:r w:rsidR="00F5640C" w:rsidRPr="002B41D9">
        <w:rPr>
          <w:rFonts w:ascii="Garamond" w:hAnsi="Garamond"/>
          <w:sz w:val="20"/>
          <w:szCs w:val="20"/>
        </w:rPr>
        <w:t>ude any confidentiality clauses</w:t>
      </w:r>
      <w:r w:rsidR="008C1009" w:rsidRPr="002B41D9">
        <w:rPr>
          <w:rFonts w:ascii="Garamond" w:hAnsi="Garamond"/>
          <w:sz w:val="20"/>
          <w:szCs w:val="20"/>
        </w:rPr>
        <w:t xml:space="preserve"> </w:t>
      </w:r>
      <w:r w:rsidRPr="002B41D9">
        <w:rPr>
          <w:rFonts w:ascii="Garamond" w:hAnsi="Garamond"/>
          <w:sz w:val="20"/>
          <w:szCs w:val="20"/>
        </w:rPr>
        <w:t>or restrictions on publications</w:t>
      </w:r>
      <w:r w:rsidR="00F72582" w:rsidRPr="002B41D9">
        <w:rPr>
          <w:rFonts w:ascii="Garamond" w:hAnsi="Garamond"/>
          <w:sz w:val="20"/>
          <w:szCs w:val="20"/>
        </w:rPr>
        <w:t>.</w:t>
      </w:r>
    </w:p>
    <w:p w:rsidR="0086455F" w:rsidRPr="002B41D9" w:rsidRDefault="0086455F" w:rsidP="0086455F">
      <w:pPr>
        <w:pStyle w:val="ListParagraph"/>
        <w:numPr>
          <w:ilvl w:val="2"/>
          <w:numId w:val="1"/>
        </w:numPr>
        <w:rPr>
          <w:rFonts w:ascii="Garamond" w:hAnsi="Garamond" w:cs="Arial"/>
          <w:sz w:val="20"/>
          <w:szCs w:val="20"/>
        </w:rPr>
      </w:pPr>
      <w:r w:rsidRPr="002B41D9">
        <w:rPr>
          <w:rFonts w:ascii="Garamond" w:hAnsi="Garamond" w:cs="Arial"/>
          <w:sz w:val="20"/>
          <w:szCs w:val="20"/>
        </w:rPr>
        <w:t xml:space="preserve">ISU must </w:t>
      </w:r>
      <w:r w:rsidR="00F72582" w:rsidRPr="002B41D9">
        <w:rPr>
          <w:rFonts w:ascii="Garamond" w:hAnsi="Garamond" w:cs="Arial"/>
          <w:sz w:val="20"/>
          <w:szCs w:val="20"/>
        </w:rPr>
        <w:t xml:space="preserve">either </w:t>
      </w:r>
      <w:r w:rsidRPr="002B41D9">
        <w:rPr>
          <w:rFonts w:ascii="Garamond" w:hAnsi="Garamond" w:cs="Arial"/>
          <w:sz w:val="20"/>
          <w:szCs w:val="20"/>
        </w:rPr>
        <w:t xml:space="preserve">receive </w:t>
      </w:r>
      <w:r w:rsidR="00070D23" w:rsidRPr="002B41D9">
        <w:rPr>
          <w:rFonts w:ascii="Garamond" w:hAnsi="Garamond" w:cs="Arial"/>
          <w:sz w:val="20"/>
          <w:szCs w:val="20"/>
        </w:rPr>
        <w:t>the full</w:t>
      </w:r>
      <w:r w:rsidRPr="002B41D9">
        <w:rPr>
          <w:rFonts w:ascii="Garamond" w:hAnsi="Garamond" w:cs="Arial"/>
          <w:sz w:val="20"/>
          <w:szCs w:val="20"/>
        </w:rPr>
        <w:t xml:space="preserve"> payment </w:t>
      </w:r>
      <w:r w:rsidR="00752468" w:rsidRPr="002B41D9">
        <w:rPr>
          <w:rFonts w:ascii="Garamond" w:hAnsi="Garamond" w:cs="Arial"/>
          <w:sz w:val="20"/>
          <w:szCs w:val="20"/>
        </w:rPr>
        <w:t xml:space="preserve">once the agreement is signed or </w:t>
      </w:r>
      <w:r w:rsidR="00F72582" w:rsidRPr="002B41D9">
        <w:rPr>
          <w:rFonts w:ascii="Garamond" w:hAnsi="Garamond" w:cs="Arial"/>
          <w:sz w:val="20"/>
          <w:szCs w:val="20"/>
        </w:rPr>
        <w:t xml:space="preserve">receive payment </w:t>
      </w:r>
      <w:r w:rsidR="009D4AB5" w:rsidRPr="002B41D9">
        <w:rPr>
          <w:rFonts w:ascii="Garamond" w:hAnsi="Garamond" w:cs="Arial"/>
          <w:sz w:val="20"/>
          <w:szCs w:val="20"/>
        </w:rPr>
        <w:t xml:space="preserve">in full </w:t>
      </w:r>
      <w:r w:rsidR="00752468" w:rsidRPr="002B41D9">
        <w:rPr>
          <w:rFonts w:ascii="Garamond" w:hAnsi="Garamond" w:cs="Arial"/>
          <w:sz w:val="20"/>
          <w:szCs w:val="20"/>
        </w:rPr>
        <w:t xml:space="preserve">after </w:t>
      </w:r>
      <w:r w:rsidR="00F72582" w:rsidRPr="002B41D9">
        <w:rPr>
          <w:rFonts w:ascii="Garamond" w:hAnsi="Garamond" w:cs="Arial"/>
          <w:sz w:val="20"/>
          <w:szCs w:val="20"/>
        </w:rPr>
        <w:t>Sponsored Programs Accounting sends</w:t>
      </w:r>
      <w:r w:rsidR="00752468" w:rsidRPr="002B41D9">
        <w:rPr>
          <w:rFonts w:ascii="Garamond" w:hAnsi="Garamond" w:cs="Arial"/>
          <w:sz w:val="20"/>
          <w:szCs w:val="20"/>
        </w:rPr>
        <w:t xml:space="preserve"> </w:t>
      </w:r>
      <w:r w:rsidR="00F72582" w:rsidRPr="002B41D9">
        <w:rPr>
          <w:rFonts w:ascii="Garamond" w:hAnsi="Garamond" w:cs="Arial"/>
          <w:sz w:val="20"/>
          <w:szCs w:val="20"/>
        </w:rPr>
        <w:t>an</w:t>
      </w:r>
      <w:r w:rsidR="00752468" w:rsidRPr="002B41D9">
        <w:rPr>
          <w:rFonts w:ascii="Garamond" w:hAnsi="Garamond" w:cs="Arial"/>
          <w:sz w:val="20"/>
          <w:szCs w:val="20"/>
        </w:rPr>
        <w:t xml:space="preserve"> inv</w:t>
      </w:r>
      <w:r w:rsidR="00F72582" w:rsidRPr="002B41D9">
        <w:rPr>
          <w:rFonts w:ascii="Garamond" w:hAnsi="Garamond" w:cs="Arial"/>
          <w:sz w:val="20"/>
          <w:szCs w:val="20"/>
        </w:rPr>
        <w:t xml:space="preserve">oice </w:t>
      </w:r>
      <w:r w:rsidR="009D4AB5" w:rsidRPr="002B41D9">
        <w:rPr>
          <w:rFonts w:ascii="Garamond" w:hAnsi="Garamond" w:cs="Arial"/>
          <w:sz w:val="20"/>
          <w:szCs w:val="20"/>
        </w:rPr>
        <w:t>for the full amount.</w:t>
      </w:r>
    </w:p>
    <w:p w:rsidR="0086455F" w:rsidRPr="002B41D9" w:rsidRDefault="0086455F" w:rsidP="0086455F">
      <w:pPr>
        <w:pStyle w:val="ListParagraph"/>
        <w:numPr>
          <w:ilvl w:val="2"/>
          <w:numId w:val="1"/>
        </w:numPr>
        <w:rPr>
          <w:rFonts w:ascii="Garamond" w:hAnsi="Garamond"/>
          <w:sz w:val="20"/>
          <w:szCs w:val="20"/>
        </w:rPr>
      </w:pPr>
      <w:r w:rsidRPr="002B41D9">
        <w:rPr>
          <w:rFonts w:ascii="Garamond" w:hAnsi="Garamond"/>
          <w:sz w:val="20"/>
          <w:szCs w:val="20"/>
        </w:rPr>
        <w:t>Projects must be fixed price contracts, not cost reimbursable.</w:t>
      </w:r>
    </w:p>
    <w:p w:rsidR="0086455F" w:rsidRPr="002B41D9" w:rsidRDefault="0086455F" w:rsidP="0086455F">
      <w:pPr>
        <w:pStyle w:val="ListParagraph"/>
        <w:numPr>
          <w:ilvl w:val="2"/>
          <w:numId w:val="1"/>
        </w:numPr>
        <w:rPr>
          <w:rFonts w:ascii="Garamond" w:hAnsi="Garamond" w:cs="Arial"/>
          <w:sz w:val="20"/>
          <w:szCs w:val="20"/>
        </w:rPr>
      </w:pPr>
      <w:r w:rsidRPr="002B41D9">
        <w:rPr>
          <w:rFonts w:ascii="Garamond" w:hAnsi="Garamond" w:cs="Arial"/>
          <w:sz w:val="20"/>
          <w:szCs w:val="20"/>
        </w:rPr>
        <w:t>Projects must not have financial reporting or deadline requirements.</w:t>
      </w:r>
    </w:p>
    <w:p w:rsidR="00F72582" w:rsidRPr="002B41D9" w:rsidRDefault="0086455F" w:rsidP="0086455F">
      <w:pPr>
        <w:pStyle w:val="ListParagraph"/>
        <w:numPr>
          <w:ilvl w:val="2"/>
          <w:numId w:val="1"/>
        </w:numPr>
        <w:rPr>
          <w:rFonts w:ascii="Garamond" w:hAnsi="Garamond" w:cs="Arial"/>
          <w:sz w:val="20"/>
          <w:szCs w:val="20"/>
        </w:rPr>
      </w:pPr>
      <w:r w:rsidRPr="002B41D9">
        <w:rPr>
          <w:rFonts w:ascii="Garamond" w:hAnsi="Garamond" w:cs="Arial"/>
          <w:sz w:val="20"/>
          <w:szCs w:val="20"/>
        </w:rPr>
        <w:t xml:space="preserve">Projects must not have cost share </w:t>
      </w:r>
      <w:r w:rsidR="001A1CA3">
        <w:rPr>
          <w:rFonts w:ascii="Garamond" w:hAnsi="Garamond" w:cs="Arial"/>
          <w:sz w:val="20"/>
          <w:szCs w:val="20"/>
        </w:rPr>
        <w:t>requirements</w:t>
      </w:r>
      <w:r w:rsidR="00F72582" w:rsidRPr="002B41D9">
        <w:rPr>
          <w:rFonts w:ascii="Garamond" w:hAnsi="Garamond" w:cs="Arial"/>
          <w:sz w:val="20"/>
          <w:szCs w:val="20"/>
        </w:rPr>
        <w:t>.</w:t>
      </w:r>
    </w:p>
    <w:p w:rsidR="002B6C12" w:rsidRPr="002B41D9" w:rsidRDefault="00F5640C" w:rsidP="0086455F">
      <w:pPr>
        <w:pStyle w:val="ListParagraph"/>
        <w:numPr>
          <w:ilvl w:val="2"/>
          <w:numId w:val="1"/>
        </w:numPr>
        <w:rPr>
          <w:rFonts w:ascii="Garamond" w:hAnsi="Garamond" w:cs="Arial"/>
          <w:sz w:val="20"/>
          <w:szCs w:val="20"/>
        </w:rPr>
      </w:pPr>
      <w:r w:rsidRPr="002B41D9">
        <w:rPr>
          <w:rFonts w:ascii="Garamond" w:hAnsi="Garamond" w:cs="Arial"/>
          <w:sz w:val="20"/>
          <w:szCs w:val="20"/>
        </w:rPr>
        <w:t xml:space="preserve">Payment </w:t>
      </w:r>
      <w:r w:rsidR="002B6C12" w:rsidRPr="002B41D9">
        <w:rPr>
          <w:rFonts w:ascii="Garamond" w:hAnsi="Garamond" w:cs="Arial"/>
          <w:sz w:val="20"/>
          <w:szCs w:val="20"/>
        </w:rPr>
        <w:t xml:space="preserve">must not be </w:t>
      </w:r>
      <w:r w:rsidRPr="002B41D9">
        <w:rPr>
          <w:rFonts w:ascii="Garamond" w:hAnsi="Garamond" w:cs="Arial"/>
          <w:sz w:val="20"/>
          <w:szCs w:val="20"/>
        </w:rPr>
        <w:t>dependent</w:t>
      </w:r>
      <w:r w:rsidR="002B6C12" w:rsidRPr="002B41D9">
        <w:rPr>
          <w:rFonts w:ascii="Garamond" w:hAnsi="Garamond" w:cs="Arial"/>
          <w:sz w:val="20"/>
          <w:szCs w:val="20"/>
        </w:rPr>
        <w:t xml:space="preserve"> </w:t>
      </w:r>
      <w:r w:rsidRPr="002B41D9">
        <w:rPr>
          <w:rFonts w:ascii="Garamond" w:hAnsi="Garamond" w:cs="Arial"/>
          <w:sz w:val="20"/>
          <w:szCs w:val="20"/>
        </w:rPr>
        <w:t xml:space="preserve">upon deliverables, meaning that payment could be withheld </w:t>
      </w:r>
      <w:r w:rsidR="002B6C12" w:rsidRPr="002B41D9">
        <w:rPr>
          <w:rFonts w:ascii="Garamond" w:hAnsi="Garamond" w:cs="Arial"/>
          <w:sz w:val="20"/>
          <w:szCs w:val="20"/>
        </w:rPr>
        <w:t xml:space="preserve">as leverage for </w:t>
      </w:r>
      <w:r w:rsidRPr="002B41D9">
        <w:rPr>
          <w:rFonts w:ascii="Garamond" w:hAnsi="Garamond" w:cs="Arial"/>
          <w:sz w:val="20"/>
          <w:szCs w:val="20"/>
        </w:rPr>
        <w:t>meeting deliverables.</w:t>
      </w:r>
    </w:p>
    <w:p w:rsidR="00F72582" w:rsidRPr="002B41D9" w:rsidRDefault="00F72582" w:rsidP="00F72582">
      <w:pPr>
        <w:rPr>
          <w:rFonts w:ascii="Garamond" w:hAnsi="Garamond" w:cs="Arial"/>
          <w:sz w:val="20"/>
          <w:szCs w:val="20"/>
        </w:rPr>
      </w:pPr>
    </w:p>
    <w:p w:rsidR="0086455F" w:rsidRPr="002B41D9" w:rsidRDefault="00F72582" w:rsidP="00F72582">
      <w:pPr>
        <w:ind w:left="720" w:hanging="720"/>
        <w:rPr>
          <w:rFonts w:ascii="Garamond" w:hAnsi="Garamond" w:cs="Arial"/>
          <w:sz w:val="20"/>
          <w:szCs w:val="20"/>
        </w:rPr>
      </w:pPr>
      <w:r w:rsidRPr="002B41D9">
        <w:rPr>
          <w:rFonts w:ascii="Garamond" w:hAnsi="Garamond" w:cs="Arial"/>
          <w:sz w:val="20"/>
          <w:szCs w:val="20"/>
        </w:rPr>
        <w:tab/>
      </w:r>
      <w:r w:rsidR="009C7AC8" w:rsidRPr="002B41D9">
        <w:rPr>
          <w:rFonts w:ascii="Garamond" w:hAnsi="Garamond" w:cs="Arial"/>
          <w:sz w:val="20"/>
          <w:szCs w:val="20"/>
          <w:u w:val="single"/>
        </w:rPr>
        <w:t>Single Sponsor</w:t>
      </w:r>
      <w:r w:rsidRPr="002B41D9">
        <w:rPr>
          <w:rFonts w:ascii="Garamond" w:hAnsi="Garamond" w:cs="Arial"/>
          <w:sz w:val="20"/>
          <w:szCs w:val="20"/>
          <w:u w:val="single"/>
        </w:rPr>
        <w:t xml:space="preserve"> Account</w:t>
      </w:r>
      <w:r w:rsidRPr="002B41D9">
        <w:rPr>
          <w:rFonts w:ascii="Garamond" w:hAnsi="Garamond" w:cs="Arial"/>
          <w:sz w:val="20"/>
          <w:szCs w:val="20"/>
        </w:rPr>
        <w:t xml:space="preserve"> – in order for a </w:t>
      </w:r>
      <w:r w:rsidR="00741B96" w:rsidRPr="002B41D9">
        <w:rPr>
          <w:rFonts w:ascii="Garamond" w:hAnsi="Garamond" w:cs="Arial"/>
          <w:sz w:val="20"/>
          <w:szCs w:val="20"/>
        </w:rPr>
        <w:t>field trial</w:t>
      </w:r>
      <w:r w:rsidRPr="002B41D9">
        <w:rPr>
          <w:rFonts w:ascii="Garamond" w:hAnsi="Garamond" w:cs="Arial"/>
          <w:sz w:val="20"/>
          <w:szCs w:val="20"/>
        </w:rPr>
        <w:t xml:space="preserve"> agreement to qualify for a single </w:t>
      </w:r>
      <w:r w:rsidR="009D4AB5" w:rsidRPr="002B41D9">
        <w:rPr>
          <w:rFonts w:ascii="Garamond" w:hAnsi="Garamond" w:cs="Arial"/>
          <w:sz w:val="20"/>
          <w:szCs w:val="20"/>
        </w:rPr>
        <w:t>sponsor</w:t>
      </w:r>
      <w:r w:rsidRPr="002B41D9">
        <w:rPr>
          <w:rFonts w:ascii="Garamond" w:hAnsi="Garamond" w:cs="Arial"/>
          <w:sz w:val="20"/>
          <w:szCs w:val="20"/>
        </w:rPr>
        <w:t xml:space="preserve"> account, the agreement must meet the following criteria:</w:t>
      </w:r>
    </w:p>
    <w:p w:rsidR="00F72582" w:rsidRPr="002B41D9" w:rsidRDefault="00F72582" w:rsidP="00F72582">
      <w:pPr>
        <w:pStyle w:val="ListParagraph"/>
        <w:numPr>
          <w:ilvl w:val="2"/>
          <w:numId w:val="4"/>
        </w:numPr>
        <w:rPr>
          <w:rFonts w:ascii="Garamond" w:hAnsi="Garamond" w:cs="Arial"/>
          <w:sz w:val="20"/>
          <w:szCs w:val="20"/>
        </w:rPr>
      </w:pPr>
      <w:r w:rsidRPr="002B41D9">
        <w:rPr>
          <w:rFonts w:ascii="Garamond" w:hAnsi="Garamond" w:cs="Arial"/>
          <w:sz w:val="20"/>
          <w:szCs w:val="20"/>
        </w:rPr>
        <w:t xml:space="preserve">ISU must either receive </w:t>
      </w:r>
      <w:r w:rsidR="00070D23" w:rsidRPr="002B41D9">
        <w:rPr>
          <w:rFonts w:ascii="Garamond" w:hAnsi="Garamond" w:cs="Arial"/>
          <w:sz w:val="20"/>
          <w:szCs w:val="20"/>
        </w:rPr>
        <w:t>the full</w:t>
      </w:r>
      <w:r w:rsidRPr="002B41D9">
        <w:rPr>
          <w:rFonts w:ascii="Garamond" w:hAnsi="Garamond" w:cs="Arial"/>
          <w:sz w:val="20"/>
          <w:szCs w:val="20"/>
        </w:rPr>
        <w:t xml:space="preserve"> payment once the agreement is signed or receive payment in full after Sponsored Programs Accounting sends an invoice for the full amount. </w:t>
      </w:r>
    </w:p>
    <w:p w:rsidR="00F72582" w:rsidRPr="002B41D9" w:rsidRDefault="00F72582" w:rsidP="00F72582">
      <w:pPr>
        <w:pStyle w:val="ListParagraph"/>
        <w:numPr>
          <w:ilvl w:val="2"/>
          <w:numId w:val="4"/>
        </w:numPr>
        <w:rPr>
          <w:rFonts w:ascii="Garamond" w:hAnsi="Garamond"/>
          <w:sz w:val="20"/>
          <w:szCs w:val="20"/>
        </w:rPr>
      </w:pPr>
      <w:r w:rsidRPr="002B41D9">
        <w:rPr>
          <w:rFonts w:ascii="Garamond" w:hAnsi="Garamond"/>
          <w:sz w:val="20"/>
          <w:szCs w:val="20"/>
        </w:rPr>
        <w:t>Projects must be fixed price contracts, not cost reimbursable.</w:t>
      </w:r>
    </w:p>
    <w:p w:rsidR="00F72582" w:rsidRPr="002B41D9" w:rsidRDefault="00F72582" w:rsidP="00F72582">
      <w:pPr>
        <w:pStyle w:val="ListParagraph"/>
        <w:numPr>
          <w:ilvl w:val="2"/>
          <w:numId w:val="4"/>
        </w:numPr>
        <w:rPr>
          <w:rFonts w:ascii="Garamond" w:hAnsi="Garamond" w:cs="Arial"/>
          <w:sz w:val="20"/>
          <w:szCs w:val="20"/>
        </w:rPr>
      </w:pPr>
      <w:r w:rsidRPr="002B41D9">
        <w:rPr>
          <w:rFonts w:ascii="Garamond" w:hAnsi="Garamond" w:cs="Arial"/>
          <w:sz w:val="20"/>
          <w:szCs w:val="20"/>
        </w:rPr>
        <w:t>Projects must not have financial reporting or deadline requirements.</w:t>
      </w:r>
    </w:p>
    <w:p w:rsidR="00F72582" w:rsidRPr="002B41D9" w:rsidRDefault="00F72582" w:rsidP="00F72582">
      <w:pPr>
        <w:pStyle w:val="ListParagraph"/>
        <w:numPr>
          <w:ilvl w:val="2"/>
          <w:numId w:val="4"/>
        </w:numPr>
        <w:rPr>
          <w:rFonts w:ascii="Garamond" w:hAnsi="Garamond" w:cs="Arial"/>
          <w:sz w:val="20"/>
          <w:szCs w:val="20"/>
        </w:rPr>
      </w:pPr>
      <w:r w:rsidRPr="002B41D9">
        <w:rPr>
          <w:rFonts w:ascii="Garamond" w:hAnsi="Garamond" w:cs="Arial"/>
          <w:sz w:val="20"/>
          <w:szCs w:val="20"/>
        </w:rPr>
        <w:t xml:space="preserve">Projects must not have cost share </w:t>
      </w:r>
      <w:r w:rsidR="001A1CA3">
        <w:rPr>
          <w:rFonts w:ascii="Garamond" w:hAnsi="Garamond" w:cs="Arial"/>
          <w:sz w:val="20"/>
          <w:szCs w:val="20"/>
        </w:rPr>
        <w:t>requirements</w:t>
      </w:r>
      <w:r w:rsidRPr="002B41D9">
        <w:rPr>
          <w:rFonts w:ascii="Garamond" w:hAnsi="Garamond" w:cs="Arial"/>
          <w:sz w:val="20"/>
          <w:szCs w:val="20"/>
        </w:rPr>
        <w:t>.</w:t>
      </w:r>
    </w:p>
    <w:p w:rsidR="00F5640C" w:rsidRPr="002B41D9" w:rsidRDefault="00F5640C" w:rsidP="004F2895">
      <w:pPr>
        <w:pStyle w:val="ListParagraph"/>
        <w:numPr>
          <w:ilvl w:val="2"/>
          <w:numId w:val="4"/>
        </w:numPr>
        <w:rPr>
          <w:rFonts w:ascii="Garamond" w:hAnsi="Garamond" w:cs="Arial"/>
          <w:sz w:val="20"/>
          <w:szCs w:val="20"/>
        </w:rPr>
      </w:pPr>
      <w:r w:rsidRPr="002B41D9">
        <w:rPr>
          <w:rFonts w:ascii="Garamond" w:hAnsi="Garamond" w:cs="Arial"/>
          <w:sz w:val="20"/>
          <w:szCs w:val="20"/>
        </w:rPr>
        <w:t>Payment must not be dependent upon deliverables, meaning that payment could be withheld as leverage for meeting deliverables.</w:t>
      </w:r>
    </w:p>
    <w:p w:rsidR="002B6C12" w:rsidRPr="002B41D9" w:rsidRDefault="002B6C12" w:rsidP="00F5640C">
      <w:pPr>
        <w:pStyle w:val="ListParagraph"/>
        <w:ind w:left="1080"/>
        <w:rPr>
          <w:rFonts w:ascii="Garamond" w:hAnsi="Garamond" w:cs="Arial"/>
          <w:i/>
          <w:sz w:val="20"/>
          <w:szCs w:val="20"/>
        </w:rPr>
      </w:pPr>
      <w:r w:rsidRPr="002B41D9">
        <w:rPr>
          <w:rFonts w:ascii="Garamond" w:hAnsi="Garamond" w:cs="Arial"/>
          <w:b/>
          <w:sz w:val="20"/>
          <w:szCs w:val="20"/>
        </w:rPr>
        <w:t>Note</w:t>
      </w:r>
      <w:r w:rsidR="00741B96" w:rsidRPr="002B41D9">
        <w:rPr>
          <w:rFonts w:ascii="Garamond" w:hAnsi="Garamond" w:cs="Arial"/>
          <w:b/>
          <w:sz w:val="20"/>
          <w:szCs w:val="20"/>
        </w:rPr>
        <w:t>:</w:t>
      </w:r>
      <w:r w:rsidRPr="002B41D9">
        <w:rPr>
          <w:rFonts w:ascii="Garamond" w:hAnsi="Garamond" w:cs="Arial"/>
          <w:sz w:val="20"/>
          <w:szCs w:val="20"/>
        </w:rPr>
        <w:t xml:space="preserve"> </w:t>
      </w:r>
      <w:r w:rsidRPr="002B41D9">
        <w:rPr>
          <w:rFonts w:ascii="Garamond" w:hAnsi="Garamond" w:cs="Arial"/>
          <w:i/>
          <w:sz w:val="20"/>
          <w:szCs w:val="20"/>
        </w:rPr>
        <w:t>the only dist</w:t>
      </w:r>
      <w:r w:rsidR="008C1F6A" w:rsidRPr="002B41D9">
        <w:rPr>
          <w:rFonts w:ascii="Garamond" w:hAnsi="Garamond" w:cs="Arial"/>
          <w:i/>
          <w:sz w:val="20"/>
          <w:szCs w:val="20"/>
        </w:rPr>
        <w:t>inction between various sponsor accounts and single sponsor</w:t>
      </w:r>
      <w:r w:rsidRPr="002B41D9">
        <w:rPr>
          <w:rFonts w:ascii="Garamond" w:hAnsi="Garamond" w:cs="Arial"/>
          <w:i/>
          <w:sz w:val="20"/>
          <w:szCs w:val="20"/>
        </w:rPr>
        <w:t xml:space="preserve"> </w:t>
      </w:r>
      <w:r w:rsidR="008C1F6A" w:rsidRPr="002B41D9">
        <w:rPr>
          <w:rFonts w:ascii="Garamond" w:hAnsi="Garamond" w:cs="Arial"/>
          <w:i/>
          <w:sz w:val="20"/>
          <w:szCs w:val="20"/>
        </w:rPr>
        <w:t>accounts is that single sponsor accounts can include</w:t>
      </w:r>
      <w:r w:rsidRPr="002B41D9">
        <w:rPr>
          <w:rFonts w:ascii="Garamond" w:hAnsi="Garamond" w:cs="Arial"/>
          <w:i/>
          <w:sz w:val="20"/>
          <w:szCs w:val="20"/>
        </w:rPr>
        <w:t xml:space="preserve"> </w:t>
      </w:r>
      <w:r w:rsidR="00F5640C" w:rsidRPr="002B41D9">
        <w:rPr>
          <w:rFonts w:ascii="Garamond" w:hAnsi="Garamond" w:cs="Arial"/>
          <w:i/>
          <w:sz w:val="20"/>
          <w:szCs w:val="20"/>
        </w:rPr>
        <w:t xml:space="preserve">agreements with </w:t>
      </w:r>
      <w:r w:rsidR="007A593B" w:rsidRPr="002B41D9">
        <w:rPr>
          <w:rFonts w:ascii="Garamond" w:hAnsi="Garamond" w:cs="Arial"/>
          <w:i/>
          <w:sz w:val="20"/>
          <w:szCs w:val="20"/>
        </w:rPr>
        <w:t xml:space="preserve">confidentiality clauses </w:t>
      </w:r>
      <w:r w:rsidR="00741B96" w:rsidRPr="002B41D9">
        <w:rPr>
          <w:rFonts w:ascii="Garamond" w:hAnsi="Garamond" w:cs="Arial"/>
          <w:i/>
          <w:sz w:val="20"/>
          <w:szCs w:val="20"/>
        </w:rPr>
        <w:t>or restrictions on publications</w:t>
      </w:r>
      <w:r w:rsidR="00F60132" w:rsidRPr="002B41D9">
        <w:rPr>
          <w:rFonts w:ascii="Garamond" w:hAnsi="Garamond" w:cs="Arial"/>
          <w:i/>
          <w:sz w:val="20"/>
          <w:szCs w:val="20"/>
        </w:rPr>
        <w:t>.</w:t>
      </w:r>
    </w:p>
    <w:p w:rsidR="004A6EFE" w:rsidRPr="002B41D9" w:rsidRDefault="004A6EFE" w:rsidP="004A6EFE">
      <w:pPr>
        <w:rPr>
          <w:rFonts w:ascii="Garamond" w:hAnsi="Garamond" w:cs="Arial"/>
          <w:sz w:val="20"/>
          <w:szCs w:val="20"/>
        </w:rPr>
      </w:pPr>
    </w:p>
    <w:p w:rsidR="009443BB" w:rsidRDefault="001A1CA3" w:rsidP="00A92D57">
      <w:pPr>
        <w:ind w:firstLine="720"/>
        <w:rPr>
          <w:rFonts w:ascii="Garamond" w:hAnsi="Garamond" w:cs="Arial"/>
          <w:sz w:val="20"/>
          <w:szCs w:val="20"/>
        </w:rPr>
      </w:pPr>
      <w:r w:rsidRPr="002B41D9">
        <w:rPr>
          <w:rFonts w:ascii="Garamond" w:hAnsi="Garamond" w:cs="Arial"/>
          <w:b/>
          <w:sz w:val="20"/>
          <w:szCs w:val="20"/>
        </w:rPr>
        <w:t xml:space="preserve">Account </w:t>
      </w:r>
      <w:r>
        <w:rPr>
          <w:rFonts w:ascii="Garamond" w:hAnsi="Garamond" w:cs="Arial"/>
          <w:b/>
          <w:sz w:val="20"/>
          <w:szCs w:val="20"/>
        </w:rPr>
        <w:t>Administration</w:t>
      </w:r>
    </w:p>
    <w:p w:rsidR="00741B96" w:rsidRDefault="00741B96" w:rsidP="00741B96">
      <w:pPr>
        <w:pStyle w:val="ListParagraph"/>
        <w:contextualSpacing/>
        <w:rPr>
          <w:rFonts w:ascii="Garamond" w:hAnsi="Garamond"/>
          <w:color w:val="000000"/>
          <w:sz w:val="20"/>
          <w:szCs w:val="20"/>
        </w:rPr>
      </w:pPr>
      <w:r w:rsidRPr="002B41D9">
        <w:rPr>
          <w:rFonts w:ascii="Garamond" w:hAnsi="Garamond"/>
          <w:color w:val="000000"/>
          <w:sz w:val="20"/>
          <w:szCs w:val="20"/>
        </w:rPr>
        <w:t>If SPA has reconciliation issues with a various industry or single industry accounts, the account will be closed and future field trials will be set up as regular accounts.</w:t>
      </w:r>
    </w:p>
    <w:p w:rsidR="001A1CA3" w:rsidRDefault="001A1CA3" w:rsidP="00741B96">
      <w:pPr>
        <w:pStyle w:val="ListParagraph"/>
        <w:contextualSpacing/>
        <w:rPr>
          <w:rFonts w:ascii="Garamond" w:hAnsi="Garamond"/>
          <w:color w:val="000000"/>
          <w:sz w:val="20"/>
          <w:szCs w:val="20"/>
        </w:rPr>
      </w:pPr>
    </w:p>
    <w:p w:rsidR="001A1CA3" w:rsidRPr="002B41D9" w:rsidRDefault="001A1CA3" w:rsidP="00741B96">
      <w:pPr>
        <w:pStyle w:val="ListParagraph"/>
        <w:contextualSpacing/>
        <w:rPr>
          <w:rFonts w:ascii="Garamond" w:hAnsi="Garamond"/>
          <w:color w:val="000000"/>
          <w:sz w:val="20"/>
          <w:szCs w:val="20"/>
        </w:rPr>
      </w:pPr>
      <w:r>
        <w:rPr>
          <w:rFonts w:ascii="Garamond" w:hAnsi="Garamond"/>
          <w:color w:val="000000"/>
          <w:sz w:val="20"/>
          <w:szCs w:val="20"/>
        </w:rPr>
        <w:t xml:space="preserve">Some </w:t>
      </w:r>
      <w:r w:rsidR="006E1B69">
        <w:rPr>
          <w:rFonts w:ascii="Garamond" w:hAnsi="Garamond"/>
          <w:color w:val="000000"/>
          <w:sz w:val="20"/>
          <w:szCs w:val="20"/>
        </w:rPr>
        <w:t xml:space="preserve">field trial </w:t>
      </w:r>
      <w:r>
        <w:rPr>
          <w:rFonts w:ascii="Garamond" w:hAnsi="Garamond"/>
          <w:color w:val="000000"/>
          <w:sz w:val="20"/>
          <w:szCs w:val="20"/>
        </w:rPr>
        <w:t xml:space="preserve">agreements </w:t>
      </w:r>
      <w:r w:rsidR="0000354B">
        <w:rPr>
          <w:rFonts w:ascii="Garamond" w:hAnsi="Garamond"/>
          <w:color w:val="000000"/>
          <w:sz w:val="20"/>
          <w:szCs w:val="20"/>
        </w:rPr>
        <w:t xml:space="preserve">are subject to </w:t>
      </w:r>
      <w:r w:rsidR="006E1B69">
        <w:rPr>
          <w:rFonts w:ascii="Garamond" w:hAnsi="Garamond"/>
          <w:color w:val="000000"/>
          <w:sz w:val="20"/>
          <w:szCs w:val="20"/>
        </w:rPr>
        <w:t xml:space="preserve">a termination </w:t>
      </w:r>
      <w:r>
        <w:rPr>
          <w:rFonts w:ascii="Garamond" w:hAnsi="Garamond"/>
          <w:color w:val="000000"/>
          <w:sz w:val="20"/>
          <w:szCs w:val="20"/>
        </w:rPr>
        <w:t>clause which state</w:t>
      </w:r>
      <w:r w:rsidR="006E1B69">
        <w:rPr>
          <w:rFonts w:ascii="Garamond" w:hAnsi="Garamond"/>
          <w:color w:val="000000"/>
          <w:sz w:val="20"/>
          <w:szCs w:val="20"/>
        </w:rPr>
        <w:t>s</w:t>
      </w:r>
      <w:r>
        <w:rPr>
          <w:rFonts w:ascii="Garamond" w:hAnsi="Garamond"/>
          <w:color w:val="000000"/>
          <w:sz w:val="20"/>
          <w:szCs w:val="20"/>
        </w:rPr>
        <w:t xml:space="preserve"> that the sponsor is only responsible for paying actual expenses</w:t>
      </w:r>
      <w:r w:rsidR="006E1B69">
        <w:rPr>
          <w:rFonts w:ascii="Garamond" w:hAnsi="Garamond"/>
          <w:color w:val="000000"/>
          <w:sz w:val="20"/>
          <w:szCs w:val="20"/>
        </w:rPr>
        <w:t xml:space="preserve"> incurred thr</w:t>
      </w:r>
      <w:r w:rsidR="0000354B">
        <w:rPr>
          <w:rFonts w:ascii="Garamond" w:hAnsi="Garamond"/>
          <w:color w:val="000000"/>
          <w:sz w:val="20"/>
          <w:szCs w:val="20"/>
        </w:rPr>
        <w:t>ough</w:t>
      </w:r>
      <w:r w:rsidR="006E1B69">
        <w:rPr>
          <w:rFonts w:ascii="Garamond" w:hAnsi="Garamond"/>
          <w:color w:val="000000"/>
          <w:sz w:val="20"/>
          <w:szCs w:val="20"/>
        </w:rPr>
        <w:t xml:space="preserve"> a specified date</w:t>
      </w:r>
      <w:r>
        <w:rPr>
          <w:rFonts w:ascii="Garamond" w:hAnsi="Garamond"/>
          <w:color w:val="000000"/>
          <w:sz w:val="20"/>
          <w:szCs w:val="20"/>
        </w:rPr>
        <w:t xml:space="preserve"> if the field trial agreement is cancelled.  </w:t>
      </w:r>
      <w:r w:rsidR="00EE75F3">
        <w:rPr>
          <w:rFonts w:ascii="Garamond" w:hAnsi="Garamond"/>
          <w:color w:val="000000"/>
          <w:sz w:val="20"/>
          <w:szCs w:val="20"/>
        </w:rPr>
        <w:t>If</w:t>
      </w:r>
      <w:r>
        <w:rPr>
          <w:rFonts w:ascii="Garamond" w:hAnsi="Garamond"/>
          <w:color w:val="000000"/>
          <w:sz w:val="20"/>
          <w:szCs w:val="20"/>
        </w:rPr>
        <w:t xml:space="preserve"> </w:t>
      </w:r>
      <w:r w:rsidR="00EE75F3">
        <w:rPr>
          <w:rFonts w:ascii="Garamond" w:hAnsi="Garamond"/>
          <w:color w:val="000000"/>
          <w:sz w:val="20"/>
          <w:szCs w:val="20"/>
        </w:rPr>
        <w:t>that occurs</w:t>
      </w:r>
      <w:r>
        <w:rPr>
          <w:rFonts w:ascii="Garamond" w:hAnsi="Garamond"/>
          <w:color w:val="000000"/>
          <w:sz w:val="20"/>
          <w:szCs w:val="20"/>
        </w:rPr>
        <w:t xml:space="preserve">, the PI will be responsible for identifying </w:t>
      </w:r>
      <w:r w:rsidR="00EE75F3">
        <w:rPr>
          <w:rFonts w:ascii="Garamond" w:hAnsi="Garamond"/>
          <w:color w:val="000000"/>
          <w:sz w:val="20"/>
          <w:szCs w:val="20"/>
        </w:rPr>
        <w:t xml:space="preserve">all of the expenses associated with that particular field trial agreement so that SPA can </w:t>
      </w:r>
      <w:proofErr w:type="gramStart"/>
      <w:r w:rsidR="00EE75F3">
        <w:rPr>
          <w:rFonts w:ascii="Garamond" w:hAnsi="Garamond"/>
          <w:color w:val="000000"/>
          <w:sz w:val="20"/>
          <w:szCs w:val="20"/>
        </w:rPr>
        <w:t>return  funds</w:t>
      </w:r>
      <w:proofErr w:type="gramEnd"/>
      <w:r w:rsidR="006E1B69">
        <w:rPr>
          <w:rFonts w:ascii="Garamond" w:hAnsi="Garamond"/>
          <w:color w:val="000000"/>
          <w:sz w:val="20"/>
          <w:szCs w:val="20"/>
        </w:rPr>
        <w:t xml:space="preserve"> to the sponsor</w:t>
      </w:r>
      <w:r w:rsidR="00EE75F3">
        <w:rPr>
          <w:rFonts w:ascii="Garamond" w:hAnsi="Garamond"/>
          <w:color w:val="000000"/>
          <w:sz w:val="20"/>
          <w:szCs w:val="20"/>
        </w:rPr>
        <w:t xml:space="preserve">. </w:t>
      </w:r>
    </w:p>
    <w:p w:rsidR="00F72582" w:rsidRPr="002B41D9" w:rsidRDefault="00F72582" w:rsidP="00F72582">
      <w:pPr>
        <w:ind w:left="720"/>
        <w:rPr>
          <w:rFonts w:ascii="Garamond" w:hAnsi="Garamond" w:cs="Arial"/>
          <w:sz w:val="20"/>
          <w:szCs w:val="20"/>
        </w:rPr>
      </w:pPr>
    </w:p>
    <w:p w:rsidR="0086455F" w:rsidRPr="002B41D9" w:rsidRDefault="0086455F" w:rsidP="00F72582">
      <w:pPr>
        <w:ind w:left="720"/>
        <w:rPr>
          <w:rFonts w:ascii="Garamond" w:hAnsi="Garamond"/>
          <w:sz w:val="20"/>
          <w:szCs w:val="20"/>
        </w:rPr>
      </w:pPr>
      <w:r w:rsidRPr="002B41D9">
        <w:rPr>
          <w:rFonts w:ascii="Garamond" w:hAnsi="Garamond" w:cs="Arial"/>
          <w:b/>
          <w:sz w:val="20"/>
          <w:szCs w:val="20"/>
        </w:rPr>
        <w:t xml:space="preserve">PIs </w:t>
      </w:r>
      <w:r w:rsidRPr="002B41D9">
        <w:rPr>
          <w:rFonts w:ascii="Garamond" w:hAnsi="Garamond"/>
          <w:b/>
          <w:sz w:val="20"/>
          <w:szCs w:val="20"/>
        </w:rPr>
        <w:t xml:space="preserve">interested in using a various </w:t>
      </w:r>
      <w:r w:rsidR="00070D23" w:rsidRPr="002B41D9">
        <w:rPr>
          <w:rFonts w:ascii="Garamond" w:hAnsi="Garamond"/>
          <w:b/>
          <w:sz w:val="20"/>
          <w:szCs w:val="20"/>
        </w:rPr>
        <w:t xml:space="preserve">or single </w:t>
      </w:r>
      <w:r w:rsidRPr="002B41D9">
        <w:rPr>
          <w:rFonts w:ascii="Garamond" w:hAnsi="Garamond"/>
          <w:b/>
          <w:sz w:val="20"/>
          <w:szCs w:val="20"/>
        </w:rPr>
        <w:t xml:space="preserve">industry account for </w:t>
      </w:r>
      <w:r w:rsidR="00741B96" w:rsidRPr="002B41D9">
        <w:rPr>
          <w:rFonts w:ascii="Garamond" w:hAnsi="Garamond"/>
          <w:b/>
          <w:sz w:val="20"/>
          <w:szCs w:val="20"/>
        </w:rPr>
        <w:t>field trial</w:t>
      </w:r>
      <w:r w:rsidR="00F72582" w:rsidRPr="002B41D9">
        <w:rPr>
          <w:rFonts w:ascii="Garamond" w:hAnsi="Garamond"/>
          <w:b/>
          <w:sz w:val="20"/>
          <w:szCs w:val="20"/>
        </w:rPr>
        <w:t>s</w:t>
      </w:r>
      <w:r w:rsidRPr="002B41D9">
        <w:rPr>
          <w:rFonts w:ascii="Garamond" w:hAnsi="Garamond"/>
          <w:b/>
          <w:sz w:val="20"/>
          <w:szCs w:val="20"/>
        </w:rPr>
        <w:t>, should follow these steps</w:t>
      </w:r>
      <w:r w:rsidRPr="002B41D9">
        <w:rPr>
          <w:rFonts w:ascii="Garamond" w:hAnsi="Garamond"/>
          <w:sz w:val="20"/>
          <w:szCs w:val="20"/>
        </w:rPr>
        <w:t>:</w:t>
      </w:r>
    </w:p>
    <w:p w:rsidR="00F72582" w:rsidRPr="002B41D9" w:rsidRDefault="00741B96" w:rsidP="00E4782A">
      <w:pPr>
        <w:pStyle w:val="ListParagraph"/>
        <w:numPr>
          <w:ilvl w:val="0"/>
          <w:numId w:val="11"/>
        </w:numPr>
        <w:ind w:left="1440" w:hanging="360"/>
        <w:contextualSpacing/>
        <w:rPr>
          <w:rFonts w:ascii="Garamond" w:hAnsi="Garamond" w:cs="Arial"/>
          <w:sz w:val="20"/>
          <w:szCs w:val="20"/>
        </w:rPr>
      </w:pPr>
      <w:r w:rsidRPr="002B41D9">
        <w:rPr>
          <w:rFonts w:ascii="Garamond" w:hAnsi="Garamond" w:cs="Arial"/>
          <w:sz w:val="20"/>
          <w:szCs w:val="20"/>
        </w:rPr>
        <w:t>W</w:t>
      </w:r>
      <w:r w:rsidR="00626CC5" w:rsidRPr="002B41D9">
        <w:rPr>
          <w:rFonts w:ascii="Garamond" w:hAnsi="Garamond" w:cs="Arial"/>
          <w:sz w:val="20"/>
          <w:szCs w:val="20"/>
        </w:rPr>
        <w:t>hen the first</w:t>
      </w:r>
      <w:r w:rsidR="0086455F" w:rsidRPr="002B41D9">
        <w:rPr>
          <w:rFonts w:ascii="Garamond" w:hAnsi="Garamond" w:cs="Arial"/>
          <w:sz w:val="20"/>
          <w:szCs w:val="20"/>
        </w:rPr>
        <w:t xml:space="preserve"> project is initiated, make a note on the GoldSheet requesting a various </w:t>
      </w:r>
      <w:r w:rsidR="00F72582" w:rsidRPr="002B41D9">
        <w:rPr>
          <w:rFonts w:ascii="Garamond" w:hAnsi="Garamond" w:cs="Arial"/>
          <w:sz w:val="20"/>
          <w:szCs w:val="20"/>
        </w:rPr>
        <w:t xml:space="preserve">or single </w:t>
      </w:r>
      <w:r w:rsidRPr="002B41D9">
        <w:rPr>
          <w:rFonts w:ascii="Garamond" w:hAnsi="Garamond" w:cs="Arial"/>
          <w:sz w:val="20"/>
          <w:szCs w:val="20"/>
        </w:rPr>
        <w:t>sponsor</w:t>
      </w:r>
      <w:r w:rsidR="0086455F" w:rsidRPr="002B41D9">
        <w:rPr>
          <w:rFonts w:ascii="Garamond" w:hAnsi="Garamond" w:cs="Arial"/>
          <w:sz w:val="20"/>
          <w:szCs w:val="20"/>
        </w:rPr>
        <w:t xml:space="preserve"> account.  </w:t>
      </w:r>
    </w:p>
    <w:p w:rsidR="0086455F" w:rsidRPr="002B41D9" w:rsidRDefault="0086455F" w:rsidP="00E4782A">
      <w:pPr>
        <w:pStyle w:val="ListParagraph"/>
        <w:numPr>
          <w:ilvl w:val="0"/>
          <w:numId w:val="11"/>
        </w:numPr>
        <w:ind w:left="1440" w:hanging="360"/>
        <w:contextualSpacing/>
        <w:rPr>
          <w:rFonts w:ascii="Garamond" w:hAnsi="Garamond" w:cs="Arial"/>
          <w:sz w:val="20"/>
          <w:szCs w:val="20"/>
        </w:rPr>
      </w:pPr>
      <w:r w:rsidRPr="002B41D9">
        <w:rPr>
          <w:rFonts w:ascii="Garamond" w:hAnsi="Garamond" w:cs="Arial"/>
          <w:sz w:val="20"/>
          <w:szCs w:val="20"/>
        </w:rPr>
        <w:t xml:space="preserve">If </w:t>
      </w:r>
      <w:r w:rsidR="00F72582" w:rsidRPr="002B41D9">
        <w:rPr>
          <w:rFonts w:ascii="Garamond" w:hAnsi="Garamond" w:cs="Arial"/>
          <w:sz w:val="20"/>
          <w:szCs w:val="20"/>
        </w:rPr>
        <w:t xml:space="preserve">the </w:t>
      </w:r>
      <w:r w:rsidRPr="002B41D9">
        <w:rPr>
          <w:rFonts w:ascii="Garamond" w:hAnsi="Garamond" w:cs="Arial"/>
          <w:sz w:val="20"/>
          <w:szCs w:val="20"/>
        </w:rPr>
        <w:t xml:space="preserve">PI has an active </w:t>
      </w:r>
      <w:r w:rsidR="00070D23" w:rsidRPr="002B41D9">
        <w:rPr>
          <w:rFonts w:ascii="Garamond" w:hAnsi="Garamond" w:cs="Arial"/>
          <w:sz w:val="20"/>
          <w:szCs w:val="20"/>
        </w:rPr>
        <w:t xml:space="preserve">various or single </w:t>
      </w:r>
      <w:r w:rsidR="00741B96" w:rsidRPr="002B41D9">
        <w:rPr>
          <w:rFonts w:ascii="Garamond" w:hAnsi="Garamond" w:cs="Arial"/>
          <w:sz w:val="20"/>
          <w:szCs w:val="20"/>
        </w:rPr>
        <w:t>sponsor</w:t>
      </w:r>
      <w:r w:rsidRPr="002B41D9">
        <w:rPr>
          <w:rFonts w:ascii="Garamond" w:hAnsi="Garamond" w:cs="Arial"/>
          <w:color w:val="000000"/>
          <w:sz w:val="20"/>
          <w:szCs w:val="20"/>
        </w:rPr>
        <w:t xml:space="preserve"> account</w:t>
      </w:r>
      <w:r w:rsidR="00F72582" w:rsidRPr="002B41D9">
        <w:rPr>
          <w:rFonts w:ascii="Garamond" w:hAnsi="Garamond" w:cs="Arial"/>
          <w:color w:val="000000"/>
          <w:sz w:val="20"/>
          <w:szCs w:val="20"/>
        </w:rPr>
        <w:t xml:space="preserve"> he/she would like to use</w:t>
      </w:r>
      <w:r w:rsidR="00626CC5" w:rsidRPr="002B41D9">
        <w:rPr>
          <w:rFonts w:ascii="Garamond" w:hAnsi="Garamond" w:cs="Arial"/>
          <w:color w:val="000000"/>
          <w:sz w:val="20"/>
          <w:szCs w:val="20"/>
        </w:rPr>
        <w:t>, provide</w:t>
      </w:r>
      <w:r w:rsidRPr="002B41D9">
        <w:rPr>
          <w:rFonts w:ascii="Garamond" w:hAnsi="Garamond"/>
          <w:color w:val="000000"/>
          <w:sz w:val="20"/>
          <w:szCs w:val="20"/>
        </w:rPr>
        <w:t xml:space="preserve"> the account number on the GoldSheet (page 1) under “Funding Information: Previous ISU Account Number.”</w:t>
      </w:r>
    </w:p>
    <w:p w:rsidR="00752468" w:rsidRPr="002B41D9" w:rsidRDefault="004A6EFE" w:rsidP="00E4782A">
      <w:pPr>
        <w:pStyle w:val="ListParagraph"/>
        <w:numPr>
          <w:ilvl w:val="0"/>
          <w:numId w:val="11"/>
        </w:numPr>
        <w:ind w:left="1440" w:hanging="360"/>
        <w:contextualSpacing/>
        <w:rPr>
          <w:rFonts w:ascii="Garamond" w:hAnsi="Garamond" w:cs="Arial"/>
          <w:sz w:val="20"/>
          <w:szCs w:val="20"/>
        </w:rPr>
      </w:pPr>
      <w:r w:rsidRPr="002B41D9">
        <w:rPr>
          <w:rFonts w:ascii="Garamond" w:hAnsi="Garamond"/>
          <w:color w:val="000000"/>
          <w:sz w:val="20"/>
          <w:szCs w:val="20"/>
        </w:rPr>
        <w:t xml:space="preserve">Ask the sponsor to include the GoldSheet number when remitting payment so SPA can apply the payment to the correct </w:t>
      </w:r>
      <w:r w:rsidR="00741B96" w:rsidRPr="002B41D9">
        <w:rPr>
          <w:rFonts w:ascii="Garamond" w:hAnsi="Garamond"/>
          <w:color w:val="000000"/>
          <w:sz w:val="20"/>
          <w:szCs w:val="20"/>
        </w:rPr>
        <w:t>field trial</w:t>
      </w:r>
      <w:r w:rsidRPr="002B41D9">
        <w:rPr>
          <w:rFonts w:ascii="Garamond" w:hAnsi="Garamond"/>
          <w:color w:val="000000"/>
          <w:sz w:val="20"/>
          <w:szCs w:val="20"/>
        </w:rPr>
        <w:t xml:space="preserve"> account.</w:t>
      </w:r>
    </w:p>
    <w:sectPr w:rsidR="00752468" w:rsidRPr="002B41D9" w:rsidSect="002B41D9">
      <w:headerReference w:type="default" r:id="rId11"/>
      <w:footerReference w:type="default" r:id="rId12"/>
      <w:headerReference w:type="first" r:id="rId13"/>
      <w:pgSz w:w="12240" w:h="15840"/>
      <w:pgMar w:top="1705" w:right="1080" w:bottom="720" w:left="990" w:header="63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BA4" w:rsidRDefault="00746BA4" w:rsidP="00661326">
      <w:r>
        <w:separator/>
      </w:r>
    </w:p>
  </w:endnote>
  <w:endnote w:type="continuationSeparator" w:id="0">
    <w:p w:rsidR="00746BA4" w:rsidRDefault="00746BA4" w:rsidP="00661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erkeley">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1D9" w:rsidRPr="002B41D9" w:rsidRDefault="002B41D9">
    <w:pPr>
      <w:pStyle w:val="Footer"/>
      <w:rPr>
        <w:rFonts w:ascii="Garamond" w:hAnsi="Garamond"/>
        <w:sz w:val="18"/>
        <w:szCs w:val="18"/>
      </w:rPr>
    </w:pPr>
    <w:r w:rsidRPr="002B41D9">
      <w:rPr>
        <w:rFonts w:ascii="Garamond" w:hAnsi="Garamond"/>
        <w:sz w:val="18"/>
        <w:szCs w:val="18"/>
      </w:rPr>
      <w:tab/>
      <w:t>Page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BA4" w:rsidRDefault="00746BA4" w:rsidP="00661326">
      <w:r>
        <w:separator/>
      </w:r>
    </w:p>
  </w:footnote>
  <w:footnote w:type="continuationSeparator" w:id="0">
    <w:p w:rsidR="00746BA4" w:rsidRDefault="00746BA4" w:rsidP="006613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326" w:rsidRPr="00661326" w:rsidRDefault="00661326" w:rsidP="00E4782A">
    <w:pPr>
      <w:pStyle w:val="Header"/>
      <w:jc w:val="center"/>
    </w:pPr>
    <w:r w:rsidRPr="00661326">
      <w:rPr>
        <w:rFonts w:ascii="Berkeley" w:hAnsi="Berkeley"/>
        <w:sz w:val="48"/>
      </w:rPr>
      <w:t>I</w:t>
    </w:r>
    <w:r w:rsidRPr="00661326">
      <w:rPr>
        <w:rFonts w:ascii="Berkeley" w:hAnsi="Berkeley"/>
        <w:smallCaps/>
        <w:sz w:val="48"/>
      </w:rPr>
      <w:t xml:space="preserve">owa </w:t>
    </w:r>
    <w:r w:rsidRPr="00661326">
      <w:rPr>
        <w:rFonts w:ascii="Berkeley" w:hAnsi="Berkeley"/>
        <w:sz w:val="48"/>
      </w:rPr>
      <w:t>S</w:t>
    </w:r>
    <w:r w:rsidRPr="00661326">
      <w:rPr>
        <w:rFonts w:ascii="Berkeley" w:hAnsi="Berkeley"/>
        <w:smallCaps/>
        <w:sz w:val="48"/>
      </w:rPr>
      <w:t xml:space="preserve">tate </w:t>
    </w:r>
    <w:r w:rsidRPr="00661326">
      <w:rPr>
        <w:rFonts w:ascii="Berkeley" w:hAnsi="Berkeley"/>
        <w:sz w:val="48"/>
      </w:rPr>
      <w:t>U</w:t>
    </w:r>
    <w:r w:rsidRPr="00661326">
      <w:rPr>
        <w:rFonts w:ascii="Berkeley" w:hAnsi="Berkeley"/>
        <w:smallCaps/>
        <w:sz w:val="48"/>
      </w:rPr>
      <w:t>niversity</w:t>
    </w:r>
  </w:p>
  <w:p w:rsidR="00661326" w:rsidRPr="00661326" w:rsidRDefault="00661326" w:rsidP="00E4782A">
    <w:pPr>
      <w:pStyle w:val="Header"/>
      <w:jc w:val="center"/>
    </w:pPr>
    <w:r w:rsidRPr="00661326">
      <w:t>2013 FIELD TRIAL GUIDELINES AND PROCEDURES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1D9" w:rsidRPr="00661326" w:rsidRDefault="002B41D9" w:rsidP="002B41D9">
    <w:pPr>
      <w:pStyle w:val="Header"/>
      <w:jc w:val="center"/>
    </w:pPr>
    <w:r w:rsidRPr="00661326">
      <w:rPr>
        <w:rFonts w:ascii="Berkeley" w:hAnsi="Berkeley"/>
        <w:sz w:val="48"/>
      </w:rPr>
      <w:t>I</w:t>
    </w:r>
    <w:r w:rsidRPr="00661326">
      <w:rPr>
        <w:rFonts w:ascii="Berkeley" w:hAnsi="Berkeley"/>
        <w:smallCaps/>
        <w:sz w:val="48"/>
      </w:rPr>
      <w:t xml:space="preserve">owa </w:t>
    </w:r>
    <w:r w:rsidRPr="00661326">
      <w:rPr>
        <w:rFonts w:ascii="Berkeley" w:hAnsi="Berkeley"/>
        <w:sz w:val="48"/>
      </w:rPr>
      <w:t>S</w:t>
    </w:r>
    <w:r w:rsidRPr="00661326">
      <w:rPr>
        <w:rFonts w:ascii="Berkeley" w:hAnsi="Berkeley"/>
        <w:smallCaps/>
        <w:sz w:val="48"/>
      </w:rPr>
      <w:t xml:space="preserve">tate </w:t>
    </w:r>
    <w:r w:rsidRPr="00661326">
      <w:rPr>
        <w:rFonts w:ascii="Berkeley" w:hAnsi="Berkeley"/>
        <w:sz w:val="48"/>
      </w:rPr>
      <w:t>U</w:t>
    </w:r>
    <w:r w:rsidRPr="00661326">
      <w:rPr>
        <w:rFonts w:ascii="Berkeley" w:hAnsi="Berkeley"/>
        <w:smallCaps/>
        <w:sz w:val="48"/>
      </w:rPr>
      <w:t>niversity</w:t>
    </w:r>
  </w:p>
  <w:p w:rsidR="002B41D9" w:rsidRPr="00661326" w:rsidRDefault="002B41D9" w:rsidP="002B41D9">
    <w:pPr>
      <w:pStyle w:val="Header"/>
      <w:jc w:val="center"/>
    </w:pPr>
    <w:r w:rsidRPr="00661326">
      <w:t>2013 FIELD TRIAL GUIDELINES AND PROCEDURES</w:t>
    </w:r>
  </w:p>
  <w:p w:rsidR="002B41D9" w:rsidRDefault="002B41D9" w:rsidP="002B41D9">
    <w:pPr>
      <w:pStyle w:val="Header"/>
      <w:tabs>
        <w:tab w:val="clear" w:pos="4680"/>
        <w:tab w:val="clear" w:pos="9360"/>
        <w:tab w:val="left" w:pos="111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145F"/>
    <w:multiLevelType w:val="hybridMultilevel"/>
    <w:tmpl w:val="74E4D974"/>
    <w:lvl w:ilvl="0" w:tplc="04090013">
      <w:start w:val="1"/>
      <w:numFmt w:val="upperRoman"/>
      <w:lvlText w:val="%1."/>
      <w:lvlJc w:val="righ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6D765F"/>
    <w:multiLevelType w:val="hybridMultilevel"/>
    <w:tmpl w:val="2EDC1ECA"/>
    <w:lvl w:ilvl="0" w:tplc="5C2448D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AD5E60"/>
    <w:multiLevelType w:val="hybridMultilevel"/>
    <w:tmpl w:val="95E8607A"/>
    <w:lvl w:ilvl="0" w:tplc="9BC6689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D94C76"/>
    <w:multiLevelType w:val="multilevel"/>
    <w:tmpl w:val="2C5AE796"/>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nsid w:val="1B5C4445"/>
    <w:multiLevelType w:val="hybridMultilevel"/>
    <w:tmpl w:val="94E24C0C"/>
    <w:lvl w:ilvl="0" w:tplc="1CEAB740">
      <w:start w:val="2"/>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FAD5D72"/>
    <w:multiLevelType w:val="hybridMultilevel"/>
    <w:tmpl w:val="2FE02496"/>
    <w:lvl w:ilvl="0" w:tplc="04090011">
      <w:start w:val="1"/>
      <w:numFmt w:val="decimal"/>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BD48F3"/>
    <w:multiLevelType w:val="hybridMultilevel"/>
    <w:tmpl w:val="B03ED92A"/>
    <w:lvl w:ilvl="0" w:tplc="98349610">
      <w:start w:val="3"/>
      <w:numFmt w:val="decimal"/>
      <w:lvlText w:val="%1."/>
      <w:lvlJc w:val="left"/>
      <w:pPr>
        <w:ind w:left="720" w:hanging="360"/>
      </w:pPr>
      <w:rPr>
        <w:rFonts w:ascii="Garamond" w:hAnsi="Garamond"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D36DEA"/>
    <w:multiLevelType w:val="hybridMultilevel"/>
    <w:tmpl w:val="075A5BCC"/>
    <w:lvl w:ilvl="0" w:tplc="1CEAB740">
      <w:start w:val="2"/>
      <w:numFmt w:val="lowerRoman"/>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8074A9"/>
    <w:multiLevelType w:val="multilevel"/>
    <w:tmpl w:val="2C5AE796"/>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nsid w:val="399E2E4F"/>
    <w:multiLevelType w:val="hybridMultilevel"/>
    <w:tmpl w:val="B798B386"/>
    <w:lvl w:ilvl="0" w:tplc="1CEAB740">
      <w:start w:val="2"/>
      <w:numFmt w:val="lowerRoman"/>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696DA5"/>
    <w:multiLevelType w:val="hybridMultilevel"/>
    <w:tmpl w:val="58C27112"/>
    <w:lvl w:ilvl="0" w:tplc="0409001B">
      <w:start w:val="1"/>
      <w:numFmt w:val="lowerRoman"/>
      <w:lvlText w:val="%1."/>
      <w:lvlJc w:val="righ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2E2FD1"/>
    <w:multiLevelType w:val="hybridMultilevel"/>
    <w:tmpl w:val="FD88F5FE"/>
    <w:lvl w:ilvl="0" w:tplc="1BFAB8E0">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E44525C"/>
    <w:multiLevelType w:val="hybridMultilevel"/>
    <w:tmpl w:val="A65EFFF0"/>
    <w:lvl w:ilvl="0" w:tplc="3C143CBE">
      <w:numFmt w:val="bullet"/>
      <w:lvlText w:val="-"/>
      <w:lvlJc w:val="left"/>
      <w:pPr>
        <w:ind w:left="420" w:hanging="360"/>
      </w:pPr>
      <w:rPr>
        <w:rFonts w:ascii="Garamond" w:eastAsia="Times New Roman" w:hAnsi="Garamond"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nsid w:val="53E24BF7"/>
    <w:multiLevelType w:val="multilevel"/>
    <w:tmpl w:val="F766A1A8"/>
    <w:lvl w:ilvl="0">
      <w:start w:val="1"/>
      <w:numFmt w:val="decimal"/>
      <w:lvlText w:val="%1."/>
      <w:lvlJc w:val="left"/>
      <w:pPr>
        <w:ind w:left="720" w:hanging="360"/>
      </w:pPr>
      <w:rPr>
        <w:rFonts w:hint="default"/>
      </w:rPr>
    </w:lvl>
    <w:lvl w:ilvl="1">
      <w:start w:val="1"/>
      <w:numFmt w:val="lowerLetter"/>
      <w:lvlText w:val="%2."/>
      <w:lvlJc w:val="left"/>
      <w:pPr>
        <w:tabs>
          <w:tab w:val="num" w:pos="1440"/>
        </w:tabs>
        <w:ind w:left="1440" w:hanging="360"/>
      </w:pPr>
      <w:rPr>
        <w:rFonts w:ascii="Garamond" w:eastAsia="Times New Roman" w:hAnsi="Garamond" w:cs="Arial" w:hint="default"/>
        <w:sz w:val="22"/>
        <w:szCs w:val="22"/>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nsid w:val="76240CDE"/>
    <w:multiLevelType w:val="hybridMultilevel"/>
    <w:tmpl w:val="7F208A62"/>
    <w:lvl w:ilvl="0" w:tplc="9BC6689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DD0A02"/>
    <w:multiLevelType w:val="hybridMultilevel"/>
    <w:tmpl w:val="3C501F40"/>
    <w:lvl w:ilvl="0" w:tplc="4C54A9E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4"/>
  </w:num>
  <w:num w:numId="4">
    <w:abstractNumId w:val="3"/>
  </w:num>
  <w:num w:numId="5">
    <w:abstractNumId w:val="11"/>
  </w:num>
  <w:num w:numId="6">
    <w:abstractNumId w:val="4"/>
  </w:num>
  <w:num w:numId="7">
    <w:abstractNumId w:val="7"/>
  </w:num>
  <w:num w:numId="8">
    <w:abstractNumId w:val="0"/>
  </w:num>
  <w:num w:numId="9">
    <w:abstractNumId w:val="10"/>
  </w:num>
  <w:num w:numId="10">
    <w:abstractNumId w:val="9"/>
  </w:num>
  <w:num w:numId="11">
    <w:abstractNumId w:val="5"/>
  </w:num>
  <w:num w:numId="12">
    <w:abstractNumId w:val="6"/>
  </w:num>
  <w:num w:numId="13">
    <w:abstractNumId w:val="13"/>
  </w:num>
  <w:num w:numId="14">
    <w:abstractNumId w:val="15"/>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2"/>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55F"/>
    <w:rsid w:val="0000354B"/>
    <w:rsid w:val="00047F75"/>
    <w:rsid w:val="00070D23"/>
    <w:rsid w:val="000D5FA1"/>
    <w:rsid w:val="001A1CA3"/>
    <w:rsid w:val="001B2946"/>
    <w:rsid w:val="001D5EE3"/>
    <w:rsid w:val="002B41D9"/>
    <w:rsid w:val="002B6C12"/>
    <w:rsid w:val="002C536C"/>
    <w:rsid w:val="00306343"/>
    <w:rsid w:val="00335B79"/>
    <w:rsid w:val="004110A9"/>
    <w:rsid w:val="004A6EFE"/>
    <w:rsid w:val="004F2895"/>
    <w:rsid w:val="005D518D"/>
    <w:rsid w:val="00610F27"/>
    <w:rsid w:val="00626CC5"/>
    <w:rsid w:val="00661326"/>
    <w:rsid w:val="006E1B69"/>
    <w:rsid w:val="00710C03"/>
    <w:rsid w:val="00741B96"/>
    <w:rsid w:val="00746BA4"/>
    <w:rsid w:val="00752468"/>
    <w:rsid w:val="007A593B"/>
    <w:rsid w:val="0086455F"/>
    <w:rsid w:val="008774DA"/>
    <w:rsid w:val="008C1009"/>
    <w:rsid w:val="008C1F6A"/>
    <w:rsid w:val="009173DF"/>
    <w:rsid w:val="009443BB"/>
    <w:rsid w:val="00973DD5"/>
    <w:rsid w:val="009C7AC8"/>
    <w:rsid w:val="009D4AB5"/>
    <w:rsid w:val="00A92D57"/>
    <w:rsid w:val="00B369DA"/>
    <w:rsid w:val="00BB5E9E"/>
    <w:rsid w:val="00C8002B"/>
    <w:rsid w:val="00CC0ACC"/>
    <w:rsid w:val="00CC3B69"/>
    <w:rsid w:val="00D17046"/>
    <w:rsid w:val="00DE16C4"/>
    <w:rsid w:val="00E4782A"/>
    <w:rsid w:val="00EC268E"/>
    <w:rsid w:val="00EE75F3"/>
    <w:rsid w:val="00F5640C"/>
    <w:rsid w:val="00F60132"/>
    <w:rsid w:val="00F72582"/>
    <w:rsid w:val="00F814CE"/>
    <w:rsid w:val="00F86C4A"/>
    <w:rsid w:val="00FF7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55F"/>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55F"/>
    <w:pPr>
      <w:ind w:left="720"/>
    </w:pPr>
    <w:rPr>
      <w:rFonts w:ascii="Calibri" w:hAnsi="Calibri"/>
      <w:sz w:val="22"/>
      <w:szCs w:val="22"/>
    </w:rPr>
  </w:style>
  <w:style w:type="character" w:styleId="Hyperlink">
    <w:name w:val="Hyperlink"/>
    <w:basedOn w:val="DefaultParagraphFont"/>
    <w:uiPriority w:val="99"/>
    <w:unhideWhenUsed/>
    <w:rsid w:val="00661326"/>
    <w:rPr>
      <w:color w:val="E68200" w:themeColor="hyperlink"/>
      <w:u w:val="single"/>
    </w:rPr>
  </w:style>
  <w:style w:type="paragraph" w:styleId="Header">
    <w:name w:val="header"/>
    <w:basedOn w:val="Normal"/>
    <w:link w:val="HeaderChar"/>
    <w:uiPriority w:val="99"/>
    <w:unhideWhenUsed/>
    <w:rsid w:val="00661326"/>
    <w:pPr>
      <w:tabs>
        <w:tab w:val="center" w:pos="4680"/>
        <w:tab w:val="right" w:pos="9360"/>
      </w:tabs>
    </w:pPr>
  </w:style>
  <w:style w:type="character" w:customStyle="1" w:styleId="HeaderChar">
    <w:name w:val="Header Char"/>
    <w:basedOn w:val="DefaultParagraphFont"/>
    <w:link w:val="Header"/>
    <w:uiPriority w:val="99"/>
    <w:rsid w:val="0066132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61326"/>
    <w:pPr>
      <w:tabs>
        <w:tab w:val="center" w:pos="4680"/>
        <w:tab w:val="right" w:pos="9360"/>
      </w:tabs>
    </w:pPr>
  </w:style>
  <w:style w:type="character" w:customStyle="1" w:styleId="FooterChar">
    <w:name w:val="Footer Char"/>
    <w:basedOn w:val="DefaultParagraphFont"/>
    <w:link w:val="Footer"/>
    <w:uiPriority w:val="99"/>
    <w:rsid w:val="00661326"/>
    <w:rPr>
      <w:rFonts w:ascii="Times New Roman" w:eastAsia="Times New Roman" w:hAnsi="Times New Roman" w:cs="Times New Roman"/>
      <w:sz w:val="24"/>
      <w:szCs w:val="24"/>
    </w:rPr>
  </w:style>
  <w:style w:type="table" w:styleId="TableGrid">
    <w:name w:val="Table Grid"/>
    <w:basedOn w:val="TableNormal"/>
    <w:uiPriority w:val="59"/>
    <w:rsid w:val="002B41D9"/>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110A9"/>
    <w:rPr>
      <w:sz w:val="16"/>
      <w:szCs w:val="16"/>
    </w:rPr>
  </w:style>
  <w:style w:type="paragraph" w:styleId="CommentText">
    <w:name w:val="annotation text"/>
    <w:basedOn w:val="Normal"/>
    <w:link w:val="CommentTextChar"/>
    <w:uiPriority w:val="99"/>
    <w:semiHidden/>
    <w:unhideWhenUsed/>
    <w:rsid w:val="004110A9"/>
    <w:rPr>
      <w:sz w:val="20"/>
      <w:szCs w:val="20"/>
    </w:rPr>
  </w:style>
  <w:style w:type="character" w:customStyle="1" w:styleId="CommentTextChar">
    <w:name w:val="Comment Text Char"/>
    <w:basedOn w:val="DefaultParagraphFont"/>
    <w:link w:val="CommentText"/>
    <w:uiPriority w:val="99"/>
    <w:semiHidden/>
    <w:rsid w:val="004110A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110A9"/>
    <w:rPr>
      <w:b/>
      <w:bCs/>
    </w:rPr>
  </w:style>
  <w:style w:type="character" w:customStyle="1" w:styleId="CommentSubjectChar">
    <w:name w:val="Comment Subject Char"/>
    <w:basedOn w:val="CommentTextChar"/>
    <w:link w:val="CommentSubject"/>
    <w:uiPriority w:val="99"/>
    <w:semiHidden/>
    <w:rsid w:val="004110A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110A9"/>
    <w:rPr>
      <w:rFonts w:ascii="Tahoma" w:hAnsi="Tahoma" w:cs="Tahoma"/>
      <w:sz w:val="16"/>
      <w:szCs w:val="16"/>
    </w:rPr>
  </w:style>
  <w:style w:type="character" w:customStyle="1" w:styleId="BalloonTextChar">
    <w:name w:val="Balloon Text Char"/>
    <w:basedOn w:val="DefaultParagraphFont"/>
    <w:link w:val="BalloonText"/>
    <w:uiPriority w:val="99"/>
    <w:semiHidden/>
    <w:rsid w:val="004110A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55F"/>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55F"/>
    <w:pPr>
      <w:ind w:left="720"/>
    </w:pPr>
    <w:rPr>
      <w:rFonts w:ascii="Calibri" w:hAnsi="Calibri"/>
      <w:sz w:val="22"/>
      <w:szCs w:val="22"/>
    </w:rPr>
  </w:style>
  <w:style w:type="character" w:styleId="Hyperlink">
    <w:name w:val="Hyperlink"/>
    <w:basedOn w:val="DefaultParagraphFont"/>
    <w:uiPriority w:val="99"/>
    <w:unhideWhenUsed/>
    <w:rsid w:val="00661326"/>
    <w:rPr>
      <w:color w:val="E68200" w:themeColor="hyperlink"/>
      <w:u w:val="single"/>
    </w:rPr>
  </w:style>
  <w:style w:type="paragraph" w:styleId="Header">
    <w:name w:val="header"/>
    <w:basedOn w:val="Normal"/>
    <w:link w:val="HeaderChar"/>
    <w:uiPriority w:val="99"/>
    <w:unhideWhenUsed/>
    <w:rsid w:val="00661326"/>
    <w:pPr>
      <w:tabs>
        <w:tab w:val="center" w:pos="4680"/>
        <w:tab w:val="right" w:pos="9360"/>
      </w:tabs>
    </w:pPr>
  </w:style>
  <w:style w:type="character" w:customStyle="1" w:styleId="HeaderChar">
    <w:name w:val="Header Char"/>
    <w:basedOn w:val="DefaultParagraphFont"/>
    <w:link w:val="Header"/>
    <w:uiPriority w:val="99"/>
    <w:rsid w:val="0066132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61326"/>
    <w:pPr>
      <w:tabs>
        <w:tab w:val="center" w:pos="4680"/>
        <w:tab w:val="right" w:pos="9360"/>
      </w:tabs>
    </w:pPr>
  </w:style>
  <w:style w:type="character" w:customStyle="1" w:styleId="FooterChar">
    <w:name w:val="Footer Char"/>
    <w:basedOn w:val="DefaultParagraphFont"/>
    <w:link w:val="Footer"/>
    <w:uiPriority w:val="99"/>
    <w:rsid w:val="00661326"/>
    <w:rPr>
      <w:rFonts w:ascii="Times New Roman" w:eastAsia="Times New Roman" w:hAnsi="Times New Roman" w:cs="Times New Roman"/>
      <w:sz w:val="24"/>
      <w:szCs w:val="24"/>
    </w:rPr>
  </w:style>
  <w:style w:type="table" w:styleId="TableGrid">
    <w:name w:val="Table Grid"/>
    <w:basedOn w:val="TableNormal"/>
    <w:uiPriority w:val="59"/>
    <w:rsid w:val="002B41D9"/>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110A9"/>
    <w:rPr>
      <w:sz w:val="16"/>
      <w:szCs w:val="16"/>
    </w:rPr>
  </w:style>
  <w:style w:type="paragraph" w:styleId="CommentText">
    <w:name w:val="annotation text"/>
    <w:basedOn w:val="Normal"/>
    <w:link w:val="CommentTextChar"/>
    <w:uiPriority w:val="99"/>
    <w:semiHidden/>
    <w:unhideWhenUsed/>
    <w:rsid w:val="004110A9"/>
    <w:rPr>
      <w:sz w:val="20"/>
      <w:szCs w:val="20"/>
    </w:rPr>
  </w:style>
  <w:style w:type="character" w:customStyle="1" w:styleId="CommentTextChar">
    <w:name w:val="Comment Text Char"/>
    <w:basedOn w:val="DefaultParagraphFont"/>
    <w:link w:val="CommentText"/>
    <w:uiPriority w:val="99"/>
    <w:semiHidden/>
    <w:rsid w:val="004110A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110A9"/>
    <w:rPr>
      <w:b/>
      <w:bCs/>
    </w:rPr>
  </w:style>
  <w:style w:type="character" w:customStyle="1" w:styleId="CommentSubjectChar">
    <w:name w:val="Comment Subject Char"/>
    <w:basedOn w:val="CommentTextChar"/>
    <w:link w:val="CommentSubject"/>
    <w:uiPriority w:val="99"/>
    <w:semiHidden/>
    <w:rsid w:val="004110A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110A9"/>
    <w:rPr>
      <w:rFonts w:ascii="Tahoma" w:hAnsi="Tahoma" w:cs="Tahoma"/>
      <w:sz w:val="16"/>
      <w:szCs w:val="16"/>
    </w:rPr>
  </w:style>
  <w:style w:type="character" w:customStyle="1" w:styleId="BalloonTextChar">
    <w:name w:val="Balloon Text Char"/>
    <w:basedOn w:val="DefaultParagraphFont"/>
    <w:link w:val="BalloonText"/>
    <w:uiPriority w:val="99"/>
    <w:semiHidden/>
    <w:rsid w:val="004110A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42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presearch.iastate.edu/index.cfm?nodeID=48337&amp;audienceID=1"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presearch.iastate.edu/index.cfm?nodeID=48337&amp;audienceID=1" TargetMode="External"/><Relationship Id="rId4" Type="http://schemas.openxmlformats.org/officeDocument/2006/relationships/settings" Target="settings.xml"/><Relationship Id="rId9" Type="http://schemas.openxmlformats.org/officeDocument/2006/relationships/hyperlink" Target="mailto:industry-contracts@iastate.edu"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ustin">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1184</Words>
  <Characters>6751</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CNDE</Company>
  <LinksUpToDate>false</LinksUpToDate>
  <CharactersWithSpaces>7920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jamyr</dc:creator>
  <cp:lastModifiedBy>jamyr</cp:lastModifiedBy>
  <cp:revision>2</cp:revision>
  <cp:lastPrinted>2013-02-21T20:31:00Z</cp:lastPrinted>
  <dcterms:created xsi:type="dcterms:W3CDTF">2013-02-26T19:00:00Z</dcterms:created>
  <dcterms:modified xsi:type="dcterms:W3CDTF">2013-02-26T19:00:00Z</dcterms:modified>
</cp:coreProperties>
</file>